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43E" w:rsidRDefault="005F043E" w:rsidP="005F043E">
      <w:pPr>
        <w:pStyle w:val="Heading1"/>
      </w:pPr>
      <w:bookmarkStart w:id="0" w:name="_GoBack"/>
      <w:bookmarkEnd w:id="0"/>
      <w:r>
        <w:t xml:space="preserve">Real investment </w:t>
      </w:r>
      <w:r w:rsidR="0025365C">
        <w:t>returns in the UK (% per annum)</w:t>
      </w:r>
    </w:p>
    <w:p w:rsidR="005F043E" w:rsidRDefault="005F043E" w:rsidP="00EC16FF">
      <w:pPr>
        <w:spacing w:after="150" w:line="240" w:lineRule="auto"/>
        <w:outlineLvl w:val="2"/>
        <w:rPr>
          <w:rFonts w:ascii="Myriad Pro" w:eastAsia="Times New Roman" w:hAnsi="Myriad Pro" w:cs="Tahoma"/>
          <w:b/>
          <w:bCs/>
          <w:color w:val="000000"/>
          <w:sz w:val="20"/>
          <w:szCs w:val="20"/>
          <w:lang w:eastAsia="en-GB"/>
        </w:rPr>
      </w:pPr>
    </w:p>
    <w:p w:rsidR="005F043E" w:rsidRDefault="005F043E" w:rsidP="00EC16FF">
      <w:pPr>
        <w:spacing w:after="150" w:line="240" w:lineRule="auto"/>
        <w:outlineLvl w:val="2"/>
        <w:rPr>
          <w:rFonts w:ascii="Myriad Pro" w:eastAsia="Times New Roman" w:hAnsi="Myriad Pro" w:cs="Tahoma"/>
          <w:b/>
          <w:bCs/>
          <w:color w:val="000000"/>
          <w:sz w:val="20"/>
          <w:szCs w:val="20"/>
          <w:lang w:eastAsia="en-GB"/>
        </w:rPr>
      </w:pPr>
    </w:p>
    <w:p w:rsidR="005F043E" w:rsidRDefault="005F043E" w:rsidP="00EC16FF">
      <w:pPr>
        <w:spacing w:after="150" w:line="240" w:lineRule="auto"/>
        <w:outlineLvl w:val="2"/>
        <w:rPr>
          <w:rFonts w:ascii="Myriad Pro" w:eastAsia="Times New Roman" w:hAnsi="Myriad Pro" w:cs="Tahoma"/>
          <w:b/>
          <w:bCs/>
          <w:color w:val="000000"/>
          <w:sz w:val="20"/>
          <w:szCs w:val="20"/>
          <w:lang w:eastAsia="en-GB"/>
        </w:rPr>
      </w:pPr>
    </w:p>
    <w:p w:rsidR="005F043E" w:rsidRDefault="005F043E" w:rsidP="00EC16FF">
      <w:pPr>
        <w:spacing w:after="150" w:line="240" w:lineRule="auto"/>
        <w:outlineLvl w:val="2"/>
        <w:rPr>
          <w:rFonts w:ascii="Myriad Pro" w:eastAsia="Times New Roman" w:hAnsi="Myriad Pro" w:cs="Tahoma"/>
          <w:b/>
          <w:bCs/>
          <w:color w:val="000000"/>
          <w:sz w:val="20"/>
          <w:szCs w:val="20"/>
          <w:lang w:eastAsia="en-GB"/>
        </w:rPr>
      </w:pPr>
    </w:p>
    <w:p w:rsidR="005F043E" w:rsidRDefault="005F043E" w:rsidP="00EC16FF">
      <w:pPr>
        <w:spacing w:after="150" w:line="240" w:lineRule="auto"/>
        <w:outlineLvl w:val="2"/>
        <w:rPr>
          <w:rFonts w:ascii="Myriad Pro" w:eastAsia="Times New Roman" w:hAnsi="Myriad Pro" w:cs="Tahoma"/>
          <w:b/>
          <w:bCs/>
          <w:color w:val="000000"/>
          <w:sz w:val="20"/>
          <w:szCs w:val="20"/>
          <w:lang w:eastAsia="en-GB"/>
        </w:rPr>
      </w:pPr>
    </w:p>
    <w:p w:rsidR="005F043E" w:rsidRDefault="005F043E" w:rsidP="00EC16FF">
      <w:pPr>
        <w:spacing w:after="150" w:line="240" w:lineRule="auto"/>
        <w:outlineLvl w:val="2"/>
        <w:rPr>
          <w:rFonts w:ascii="Myriad Pro" w:eastAsia="Times New Roman" w:hAnsi="Myriad Pro" w:cs="Tahoma"/>
          <w:b/>
          <w:bCs/>
          <w:color w:val="000000"/>
          <w:sz w:val="20"/>
          <w:szCs w:val="20"/>
          <w:lang w:eastAsia="en-GB"/>
        </w:rPr>
      </w:pPr>
    </w:p>
    <w:p w:rsidR="005F043E" w:rsidRDefault="005F043E" w:rsidP="00EC16FF">
      <w:pPr>
        <w:spacing w:after="150" w:line="240" w:lineRule="auto"/>
        <w:outlineLvl w:val="2"/>
        <w:rPr>
          <w:rFonts w:ascii="Myriad Pro" w:eastAsia="Times New Roman" w:hAnsi="Myriad Pro" w:cs="Tahoma"/>
          <w:b/>
          <w:bCs/>
          <w:color w:val="000000"/>
          <w:sz w:val="20"/>
          <w:szCs w:val="20"/>
          <w:lang w:eastAsia="en-GB"/>
        </w:rPr>
      </w:pPr>
    </w:p>
    <w:p w:rsidR="005F043E" w:rsidRDefault="005F043E" w:rsidP="00EC16FF">
      <w:pPr>
        <w:spacing w:after="150" w:line="240" w:lineRule="auto"/>
        <w:outlineLvl w:val="2"/>
        <w:rPr>
          <w:rFonts w:ascii="Myriad Pro" w:eastAsia="Times New Roman" w:hAnsi="Myriad Pro" w:cs="Tahoma"/>
          <w:b/>
          <w:bCs/>
          <w:color w:val="000000"/>
          <w:sz w:val="20"/>
          <w:szCs w:val="20"/>
          <w:lang w:eastAsia="en-GB"/>
        </w:rPr>
      </w:pPr>
    </w:p>
    <w:p w:rsidR="005F043E" w:rsidRDefault="005F043E" w:rsidP="00EC16FF">
      <w:pPr>
        <w:spacing w:after="150" w:line="240" w:lineRule="auto"/>
        <w:outlineLvl w:val="2"/>
        <w:rPr>
          <w:rFonts w:ascii="Myriad Pro" w:eastAsia="Times New Roman" w:hAnsi="Myriad Pro" w:cs="Tahoma"/>
          <w:b/>
          <w:bCs/>
          <w:color w:val="000000"/>
          <w:sz w:val="20"/>
          <w:szCs w:val="20"/>
          <w:lang w:eastAsia="en-GB"/>
        </w:rPr>
      </w:pPr>
    </w:p>
    <w:p w:rsidR="005F043E" w:rsidRDefault="005F043E" w:rsidP="00EC16FF">
      <w:pPr>
        <w:spacing w:after="150" w:line="240" w:lineRule="auto"/>
        <w:outlineLvl w:val="2"/>
        <w:rPr>
          <w:rFonts w:ascii="Myriad Pro" w:eastAsia="Times New Roman" w:hAnsi="Myriad Pro" w:cs="Tahoma"/>
          <w:b/>
          <w:bCs/>
          <w:color w:val="000000"/>
          <w:sz w:val="20"/>
          <w:szCs w:val="20"/>
          <w:lang w:eastAsia="en-GB"/>
        </w:rPr>
      </w:pPr>
    </w:p>
    <w:p w:rsidR="005F043E" w:rsidRDefault="005F043E" w:rsidP="00EC16FF">
      <w:pPr>
        <w:spacing w:after="150" w:line="240" w:lineRule="auto"/>
        <w:outlineLvl w:val="2"/>
        <w:rPr>
          <w:rFonts w:ascii="Myriad Pro" w:eastAsia="Times New Roman" w:hAnsi="Myriad Pro" w:cs="Tahoma"/>
          <w:b/>
          <w:bCs/>
          <w:color w:val="000000"/>
          <w:sz w:val="20"/>
          <w:szCs w:val="20"/>
          <w:lang w:eastAsia="en-GB"/>
        </w:rPr>
      </w:pPr>
    </w:p>
    <w:p w:rsidR="005F043E" w:rsidRDefault="005F043E" w:rsidP="00EC16FF">
      <w:pPr>
        <w:spacing w:after="150" w:line="240" w:lineRule="auto"/>
        <w:outlineLvl w:val="2"/>
        <w:rPr>
          <w:rFonts w:ascii="Myriad Pro" w:eastAsia="Times New Roman" w:hAnsi="Myriad Pro" w:cs="Tahoma"/>
          <w:b/>
          <w:bCs/>
          <w:color w:val="000000"/>
          <w:sz w:val="20"/>
          <w:szCs w:val="20"/>
          <w:lang w:eastAsia="en-GB"/>
        </w:rPr>
      </w:pPr>
    </w:p>
    <w:p w:rsidR="005F043E" w:rsidRDefault="005F043E" w:rsidP="00EC16FF">
      <w:pPr>
        <w:spacing w:after="150" w:line="240" w:lineRule="auto"/>
        <w:outlineLvl w:val="2"/>
        <w:rPr>
          <w:rFonts w:ascii="Myriad Pro" w:eastAsia="Times New Roman" w:hAnsi="Myriad Pro" w:cs="Tahoma"/>
          <w:b/>
          <w:bCs/>
          <w:color w:val="000000"/>
          <w:sz w:val="20"/>
          <w:szCs w:val="20"/>
          <w:lang w:eastAsia="en-GB"/>
        </w:rPr>
      </w:pPr>
    </w:p>
    <w:p w:rsidR="005F043E" w:rsidRDefault="005F043E" w:rsidP="00EC16FF">
      <w:pPr>
        <w:spacing w:after="150" w:line="240" w:lineRule="auto"/>
        <w:outlineLvl w:val="2"/>
        <w:rPr>
          <w:rFonts w:ascii="Myriad Pro" w:eastAsia="Times New Roman" w:hAnsi="Myriad Pro" w:cs="Tahoma"/>
          <w:b/>
          <w:bCs/>
          <w:color w:val="000000"/>
          <w:sz w:val="20"/>
          <w:szCs w:val="20"/>
          <w:lang w:eastAsia="en-GB"/>
        </w:rPr>
      </w:pPr>
    </w:p>
    <w:p w:rsidR="005F043E" w:rsidRDefault="005F043E" w:rsidP="00EC16FF">
      <w:pPr>
        <w:spacing w:after="150" w:line="240" w:lineRule="auto"/>
        <w:outlineLvl w:val="2"/>
        <w:rPr>
          <w:rFonts w:ascii="Myriad Pro" w:eastAsia="Times New Roman" w:hAnsi="Myriad Pro" w:cs="Tahoma"/>
          <w:b/>
          <w:bCs/>
          <w:color w:val="000000"/>
          <w:sz w:val="20"/>
          <w:szCs w:val="20"/>
          <w:lang w:eastAsia="en-GB"/>
        </w:rPr>
      </w:pPr>
    </w:p>
    <w:p w:rsidR="005F043E" w:rsidRDefault="005F043E" w:rsidP="00EC16FF">
      <w:pPr>
        <w:spacing w:after="150" w:line="240" w:lineRule="auto"/>
        <w:outlineLvl w:val="2"/>
        <w:rPr>
          <w:rFonts w:ascii="Myriad Pro" w:eastAsia="Times New Roman" w:hAnsi="Myriad Pro" w:cs="Tahoma"/>
          <w:b/>
          <w:bCs/>
          <w:color w:val="000000"/>
          <w:sz w:val="20"/>
          <w:szCs w:val="20"/>
          <w:lang w:eastAsia="en-GB"/>
        </w:rPr>
      </w:pPr>
    </w:p>
    <w:p w:rsidR="005F043E" w:rsidRDefault="005F043E" w:rsidP="00EC16FF">
      <w:pPr>
        <w:spacing w:after="150" w:line="240" w:lineRule="auto"/>
        <w:outlineLvl w:val="2"/>
        <w:rPr>
          <w:rFonts w:ascii="Myriad Pro" w:eastAsia="Times New Roman" w:hAnsi="Myriad Pro" w:cs="Tahoma"/>
          <w:b/>
          <w:bCs/>
          <w:color w:val="000000"/>
          <w:sz w:val="20"/>
          <w:szCs w:val="20"/>
          <w:lang w:eastAsia="en-GB"/>
        </w:rPr>
      </w:pPr>
    </w:p>
    <w:p w:rsidR="005F043E" w:rsidRDefault="005F043E" w:rsidP="00EC16FF">
      <w:pPr>
        <w:spacing w:after="150" w:line="240" w:lineRule="auto"/>
        <w:outlineLvl w:val="2"/>
        <w:rPr>
          <w:rFonts w:ascii="Myriad Pro" w:eastAsia="Times New Roman" w:hAnsi="Myriad Pro" w:cs="Tahoma"/>
          <w:b/>
          <w:bCs/>
          <w:color w:val="000000"/>
          <w:sz w:val="20"/>
          <w:szCs w:val="20"/>
          <w:lang w:eastAsia="en-GB"/>
        </w:rPr>
      </w:pPr>
    </w:p>
    <w:p w:rsidR="005F043E" w:rsidRDefault="005F043E" w:rsidP="00EC16FF">
      <w:pPr>
        <w:spacing w:after="150" w:line="240" w:lineRule="auto"/>
        <w:outlineLvl w:val="2"/>
        <w:rPr>
          <w:rFonts w:ascii="Myriad Pro" w:eastAsia="Times New Roman" w:hAnsi="Myriad Pro" w:cs="Tahoma"/>
          <w:b/>
          <w:bCs/>
          <w:color w:val="000000"/>
          <w:sz w:val="20"/>
          <w:szCs w:val="20"/>
          <w:lang w:eastAsia="en-GB"/>
        </w:rPr>
      </w:pPr>
    </w:p>
    <w:p w:rsidR="005F043E" w:rsidRDefault="005F043E" w:rsidP="00EC16FF">
      <w:pPr>
        <w:spacing w:after="150" w:line="240" w:lineRule="auto"/>
        <w:outlineLvl w:val="2"/>
        <w:rPr>
          <w:rFonts w:ascii="Myriad Pro" w:eastAsia="Times New Roman" w:hAnsi="Myriad Pro" w:cs="Tahoma"/>
          <w:b/>
          <w:bCs/>
          <w:color w:val="000000"/>
          <w:sz w:val="20"/>
          <w:szCs w:val="20"/>
          <w:lang w:eastAsia="en-GB"/>
        </w:rPr>
      </w:pPr>
    </w:p>
    <w:p w:rsidR="005F043E" w:rsidRDefault="005F043E" w:rsidP="00EC16FF">
      <w:pPr>
        <w:spacing w:after="150" w:line="240" w:lineRule="auto"/>
        <w:outlineLvl w:val="2"/>
        <w:rPr>
          <w:rFonts w:ascii="Myriad Pro" w:eastAsia="Times New Roman" w:hAnsi="Myriad Pro" w:cs="Tahoma"/>
          <w:b/>
          <w:bCs/>
          <w:color w:val="000000"/>
          <w:sz w:val="20"/>
          <w:szCs w:val="20"/>
          <w:lang w:eastAsia="en-GB"/>
        </w:rPr>
      </w:pPr>
    </w:p>
    <w:p w:rsidR="005F043E" w:rsidRDefault="005F043E" w:rsidP="00EC16FF">
      <w:pPr>
        <w:spacing w:after="150" w:line="240" w:lineRule="auto"/>
        <w:outlineLvl w:val="2"/>
        <w:rPr>
          <w:rFonts w:ascii="Myriad Pro" w:eastAsia="Times New Roman" w:hAnsi="Myriad Pro" w:cs="Tahoma"/>
          <w:b/>
          <w:bCs/>
          <w:color w:val="000000"/>
          <w:sz w:val="20"/>
          <w:szCs w:val="20"/>
          <w:lang w:eastAsia="en-GB"/>
        </w:rPr>
      </w:pPr>
    </w:p>
    <w:p w:rsidR="005F043E" w:rsidRDefault="005F043E" w:rsidP="00EC16FF">
      <w:pPr>
        <w:spacing w:after="150" w:line="240" w:lineRule="auto"/>
        <w:outlineLvl w:val="2"/>
        <w:rPr>
          <w:rFonts w:ascii="Myriad Pro" w:eastAsia="Times New Roman" w:hAnsi="Myriad Pro" w:cs="Tahoma"/>
          <w:b/>
          <w:bCs/>
          <w:color w:val="000000"/>
          <w:sz w:val="20"/>
          <w:szCs w:val="20"/>
          <w:lang w:eastAsia="en-GB"/>
        </w:rPr>
      </w:pPr>
    </w:p>
    <w:p w:rsidR="005F043E" w:rsidRDefault="005F043E" w:rsidP="00EC16FF">
      <w:pPr>
        <w:spacing w:after="150" w:line="240" w:lineRule="auto"/>
        <w:outlineLvl w:val="2"/>
        <w:rPr>
          <w:rFonts w:ascii="Myriad Pro" w:eastAsia="Times New Roman" w:hAnsi="Myriad Pro" w:cs="Tahoma"/>
          <w:b/>
          <w:bCs/>
          <w:color w:val="000000"/>
          <w:sz w:val="20"/>
          <w:szCs w:val="20"/>
          <w:lang w:eastAsia="en-GB"/>
        </w:rPr>
      </w:pPr>
    </w:p>
    <w:p w:rsidR="005F043E" w:rsidRDefault="005F043E" w:rsidP="00EC16FF">
      <w:pPr>
        <w:spacing w:after="150" w:line="240" w:lineRule="auto"/>
        <w:outlineLvl w:val="2"/>
        <w:rPr>
          <w:rFonts w:ascii="Myriad Pro" w:eastAsia="Times New Roman" w:hAnsi="Myriad Pro" w:cs="Tahoma"/>
          <w:b/>
          <w:bCs/>
          <w:color w:val="000000"/>
          <w:sz w:val="20"/>
          <w:szCs w:val="20"/>
          <w:lang w:eastAsia="en-GB"/>
        </w:rPr>
      </w:pPr>
    </w:p>
    <w:p w:rsidR="005F043E" w:rsidRDefault="005F043E" w:rsidP="00EC16FF">
      <w:pPr>
        <w:spacing w:after="150" w:line="240" w:lineRule="auto"/>
        <w:outlineLvl w:val="2"/>
        <w:rPr>
          <w:rFonts w:ascii="Myriad Pro" w:eastAsia="Times New Roman" w:hAnsi="Myriad Pro" w:cs="Tahoma"/>
          <w:b/>
          <w:bCs/>
          <w:color w:val="000000"/>
          <w:sz w:val="20"/>
          <w:szCs w:val="20"/>
          <w:lang w:eastAsia="en-GB"/>
        </w:rPr>
      </w:pPr>
    </w:p>
    <w:p w:rsidR="005F043E" w:rsidRDefault="005F043E" w:rsidP="00EC16FF">
      <w:pPr>
        <w:spacing w:after="150" w:line="240" w:lineRule="auto"/>
        <w:outlineLvl w:val="2"/>
        <w:rPr>
          <w:rFonts w:ascii="Myriad Pro" w:eastAsia="Times New Roman" w:hAnsi="Myriad Pro" w:cs="Tahoma"/>
          <w:b/>
          <w:bCs/>
          <w:color w:val="000000"/>
          <w:sz w:val="20"/>
          <w:szCs w:val="20"/>
          <w:lang w:eastAsia="en-GB"/>
        </w:rPr>
      </w:pPr>
      <w:r>
        <w:rPr>
          <w:rFonts w:ascii="Myriad Pro" w:eastAsia="Times New Roman" w:hAnsi="Myriad Pro" w:cs="Tahoma"/>
          <w:b/>
          <w:bCs/>
          <w:color w:val="000000"/>
          <w:sz w:val="20"/>
          <w:szCs w:val="20"/>
          <w:lang w:eastAsia="en-GB"/>
        </w:rPr>
        <w:br w:type="page"/>
      </w:r>
    </w:p>
    <w:p w:rsidR="00023294" w:rsidRPr="00EC16FF" w:rsidRDefault="00023294" w:rsidP="00023294">
      <w:pPr>
        <w:spacing w:after="150" w:line="240" w:lineRule="auto"/>
        <w:outlineLvl w:val="2"/>
        <w:rPr>
          <w:rFonts w:ascii="Myriad Pro" w:eastAsia="Times New Roman" w:hAnsi="Myriad Pro" w:cs="Tahoma"/>
          <w:b/>
          <w:bCs/>
          <w:color w:val="000000"/>
          <w:sz w:val="20"/>
          <w:szCs w:val="20"/>
          <w:lang w:eastAsia="en-GB"/>
        </w:rPr>
      </w:pPr>
      <w:r w:rsidRPr="00EC16FF">
        <w:rPr>
          <w:rFonts w:ascii="Myriad Pro" w:eastAsia="Times New Roman" w:hAnsi="Myriad Pro" w:cs="Tahoma"/>
          <w:b/>
          <w:bCs/>
          <w:color w:val="000000"/>
          <w:sz w:val="20"/>
          <w:szCs w:val="20"/>
          <w:lang w:eastAsia="en-GB"/>
        </w:rPr>
        <w:lastRenderedPageBreak/>
        <w:t>Table 6: Real investment returns in the UK (% per annum)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"/>
        <w:gridCol w:w="1318"/>
        <w:gridCol w:w="1067"/>
        <w:gridCol w:w="1371"/>
        <w:gridCol w:w="1513"/>
        <w:gridCol w:w="3075"/>
      </w:tblGrid>
      <w:tr w:rsidR="00023294" w:rsidRPr="00EC16FF" w:rsidTr="006133A1">
        <w:trPr>
          <w:tblCellSpacing w:w="15" w:type="dxa"/>
        </w:trPr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ahoma" w:eastAsia="Times New Roman" w:hAnsi="Tahoma" w:cs="Tahoma"/>
                <w:b/>
                <w:bCs/>
                <w:color w:val="1D1D1D"/>
                <w:sz w:val="20"/>
                <w:szCs w:val="20"/>
                <w:lang w:eastAsia="en-GB"/>
              </w:rPr>
            </w:pPr>
            <w:r w:rsidRPr="00EC16FF">
              <w:rPr>
                <w:rFonts w:ascii="Tahoma" w:eastAsia="Times New Roman" w:hAnsi="Tahoma" w:cs="Tahoma"/>
                <w:b/>
                <w:bCs/>
                <w:color w:val="1D1D1D"/>
                <w:sz w:val="20"/>
                <w:szCs w:val="20"/>
                <w:lang w:eastAsia="en-GB"/>
              </w:rPr>
              <w:t>Period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ahoma" w:eastAsia="Times New Roman" w:hAnsi="Tahoma" w:cs="Tahoma"/>
                <w:b/>
                <w:bCs/>
                <w:color w:val="1D1D1D"/>
                <w:sz w:val="20"/>
                <w:szCs w:val="20"/>
                <w:lang w:eastAsia="en-GB"/>
              </w:rPr>
            </w:pPr>
            <w:r w:rsidRPr="00EC16FF">
              <w:rPr>
                <w:rFonts w:ascii="Tahoma" w:eastAsia="Times New Roman" w:hAnsi="Tahoma" w:cs="Tahoma"/>
                <w:b/>
                <w:bCs/>
                <w:color w:val="1D1D1D"/>
                <w:sz w:val="20"/>
                <w:szCs w:val="20"/>
                <w:lang w:eastAsia="en-GB"/>
              </w:rPr>
              <w:t>Equities (shares)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ahoma" w:eastAsia="Times New Roman" w:hAnsi="Tahoma" w:cs="Tahoma"/>
                <w:b/>
                <w:bCs/>
                <w:color w:val="1D1D1D"/>
                <w:sz w:val="20"/>
                <w:szCs w:val="20"/>
                <w:lang w:eastAsia="en-GB"/>
              </w:rPr>
            </w:pPr>
            <w:r w:rsidRPr="00EC16FF">
              <w:rPr>
                <w:rFonts w:ascii="Tahoma" w:eastAsia="Times New Roman" w:hAnsi="Tahoma" w:cs="Tahoma"/>
                <w:b/>
                <w:bCs/>
                <w:color w:val="1D1D1D"/>
                <w:sz w:val="20"/>
                <w:szCs w:val="20"/>
                <w:lang w:eastAsia="en-GB"/>
              </w:rPr>
              <w:t>Bonds (gilts)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ahoma" w:eastAsia="Times New Roman" w:hAnsi="Tahoma" w:cs="Tahoma"/>
                <w:b/>
                <w:bCs/>
                <w:color w:val="1D1D1D"/>
                <w:sz w:val="20"/>
                <w:szCs w:val="20"/>
                <w:lang w:eastAsia="en-GB"/>
              </w:rPr>
            </w:pPr>
            <w:r w:rsidRPr="00EC16FF">
              <w:rPr>
                <w:rFonts w:ascii="Tahoma" w:eastAsia="Times New Roman" w:hAnsi="Tahoma" w:cs="Tahoma"/>
                <w:b/>
                <w:bCs/>
                <w:color w:val="1D1D1D"/>
                <w:sz w:val="20"/>
                <w:szCs w:val="20"/>
                <w:lang w:eastAsia="en-GB"/>
              </w:rPr>
              <w:t>Savings accounts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ahoma" w:eastAsia="Times New Roman" w:hAnsi="Tahoma" w:cs="Tahoma"/>
                <w:b/>
                <w:bCs/>
                <w:color w:val="1D1D1D"/>
                <w:sz w:val="20"/>
                <w:szCs w:val="20"/>
                <w:lang w:eastAsia="en-GB"/>
              </w:rPr>
            </w:pPr>
            <w:r w:rsidRPr="00EC16FF">
              <w:rPr>
                <w:rFonts w:ascii="Tahoma" w:eastAsia="Times New Roman" w:hAnsi="Tahoma" w:cs="Tahoma"/>
                <w:b/>
                <w:bCs/>
                <w:color w:val="1D1D1D"/>
                <w:sz w:val="20"/>
                <w:szCs w:val="20"/>
                <w:lang w:eastAsia="en-GB"/>
              </w:rPr>
              <w:t>Price inflation (% per annum)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ahoma" w:eastAsia="Times New Roman" w:hAnsi="Tahoma" w:cs="Tahoma"/>
                <w:b/>
                <w:bCs/>
                <w:color w:val="1D1D1D"/>
                <w:sz w:val="20"/>
                <w:szCs w:val="20"/>
                <w:lang w:eastAsia="en-GB"/>
              </w:rPr>
            </w:pPr>
            <w:r w:rsidRPr="00EC16FF">
              <w:rPr>
                <w:rFonts w:ascii="Tahoma" w:eastAsia="Times New Roman" w:hAnsi="Tahoma" w:cs="Tahoma"/>
                <w:b/>
                <w:bCs/>
                <w:color w:val="1D1D1D"/>
                <w:sz w:val="20"/>
                <w:szCs w:val="20"/>
                <w:lang w:eastAsia="en-GB"/>
              </w:rPr>
              <w:t>Events and economic background (primarily UK)</w:t>
            </w:r>
          </w:p>
        </w:tc>
      </w:tr>
      <w:tr w:rsidR="00023294" w:rsidRPr="00EC16FF" w:rsidTr="006133A1">
        <w:trPr>
          <w:tblCellSpacing w:w="15" w:type="dxa"/>
        </w:trPr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</w:pPr>
            <w:r w:rsidRPr="00EC16FF"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  <w:t>1903–13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</w:pPr>
            <w:r w:rsidRPr="00EC16FF"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</w:pPr>
            <w:r w:rsidRPr="00EC16FF"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  <w:t>Period of economic stability.</w:t>
            </w:r>
          </w:p>
        </w:tc>
      </w:tr>
      <w:tr w:rsidR="00023294" w:rsidRPr="00EC16FF" w:rsidTr="006133A1">
        <w:trPr>
          <w:tblCellSpacing w:w="15" w:type="dxa"/>
        </w:trPr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</w:pPr>
            <w:r w:rsidRPr="00EC16FF"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  <w:t>1913–23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</w:pPr>
            <w:r w:rsidRPr="00EC16FF"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  <w:t>5.1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</w:pPr>
            <w:r w:rsidRPr="00EC16FF"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  <w:t>First World War and post-war economic recovery.</w:t>
            </w:r>
          </w:p>
        </w:tc>
      </w:tr>
      <w:tr w:rsidR="00023294" w:rsidRPr="00EC16FF" w:rsidTr="006133A1">
        <w:trPr>
          <w:tblCellSpacing w:w="15" w:type="dxa"/>
        </w:trPr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</w:pPr>
            <w:r w:rsidRPr="00EC16FF"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  <w:t>1923–33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</w:pPr>
            <w:r w:rsidRPr="00EC16FF"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  <w:t>-2.1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</w:pPr>
            <w:r w:rsidRPr="00EC16FF"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  <w:t>The 1920s boom followed by the Great Depression.</w:t>
            </w:r>
          </w:p>
        </w:tc>
      </w:tr>
      <w:tr w:rsidR="00023294" w:rsidRPr="00EC16FF" w:rsidTr="006133A1">
        <w:trPr>
          <w:tblCellSpacing w:w="15" w:type="dxa"/>
        </w:trPr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</w:pPr>
            <w:r w:rsidRPr="00EC16FF"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  <w:t>1933–43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</w:pPr>
            <w:r w:rsidRPr="00EC16FF"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  <w:t>3.4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</w:pPr>
            <w:r w:rsidRPr="00EC16FF"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  <w:t>Gradual economic recovery. Second World War and start of active government policies designed to manage economy.</w:t>
            </w:r>
          </w:p>
        </w:tc>
      </w:tr>
      <w:tr w:rsidR="00023294" w:rsidRPr="00EC16FF" w:rsidTr="006133A1">
        <w:trPr>
          <w:tblCellSpacing w:w="15" w:type="dxa"/>
        </w:trPr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</w:pPr>
            <w:r w:rsidRPr="00EC16FF"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  <w:t>1943–53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</w:pPr>
            <w:r w:rsidRPr="00EC16FF"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</w:pPr>
            <w:r w:rsidRPr="00EC16FF"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  <w:t>End of Second World War and post-war reconstruction.</w:t>
            </w:r>
          </w:p>
        </w:tc>
      </w:tr>
      <w:tr w:rsidR="00023294" w:rsidRPr="00EC16FF" w:rsidTr="006133A1">
        <w:trPr>
          <w:tblCellSpacing w:w="15" w:type="dxa"/>
        </w:trPr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</w:pPr>
            <w:r w:rsidRPr="00EC16FF"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  <w:t>1953–63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</w:pPr>
            <w:r w:rsidRPr="00EC16FF"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  <w:t>3.0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</w:pPr>
            <w:r w:rsidRPr="00EC16FF"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  <w:t>Post-war very steady (generally) economic recovery.</w:t>
            </w:r>
          </w:p>
        </w:tc>
      </w:tr>
      <w:tr w:rsidR="00023294" w:rsidRPr="00EC16FF" w:rsidTr="006133A1">
        <w:trPr>
          <w:tblCellSpacing w:w="15" w:type="dxa"/>
        </w:trPr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</w:pPr>
            <w:r w:rsidRPr="00EC16FF"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  <w:t>1963–73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</w:pPr>
            <w:r w:rsidRPr="00EC16FF"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  <w:t>6.1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</w:pPr>
            <w:r w:rsidRPr="00EC16FF"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  <w:t>‘Stop-go’ economic policies. Inflation starts to climb.</w:t>
            </w:r>
          </w:p>
        </w:tc>
      </w:tr>
      <w:tr w:rsidR="00023294" w:rsidRPr="00EC16FF" w:rsidTr="006133A1">
        <w:trPr>
          <w:tblCellSpacing w:w="15" w:type="dxa"/>
        </w:trPr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</w:pPr>
            <w:r w:rsidRPr="00EC16FF"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  <w:t>1973–83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</w:pPr>
            <w:r w:rsidRPr="00EC16FF"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  <w:t>13.3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</w:pPr>
            <w:r w:rsidRPr="00EC16FF"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  <w:t>Economic chaos. High inflation, high unemployment, low economic growth. Oil prices surge. Industrial disputes.</w:t>
            </w:r>
          </w:p>
        </w:tc>
      </w:tr>
      <w:tr w:rsidR="00023294" w:rsidRPr="00EC16FF" w:rsidTr="006133A1">
        <w:trPr>
          <w:tblCellSpacing w:w="15" w:type="dxa"/>
        </w:trPr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</w:pPr>
            <w:r w:rsidRPr="00EC16FF"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  <w:t>1983–93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</w:pPr>
            <w:r w:rsidRPr="00EC16FF"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  <w:t>5.0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</w:pPr>
            <w:r w:rsidRPr="00EC16FF"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  <w:t>Inflation falls. Deregulation of financial markets. Privatisation of public utilities. House prices rise and then fall.</w:t>
            </w:r>
          </w:p>
        </w:tc>
      </w:tr>
      <w:tr w:rsidR="00023294" w:rsidRPr="00EC16FF" w:rsidTr="006133A1">
        <w:trPr>
          <w:tblCellSpacing w:w="15" w:type="dxa"/>
        </w:trPr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</w:pPr>
            <w:r w:rsidRPr="00EC16FF"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  <w:t>1993–2003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</w:pPr>
            <w:r w:rsidRPr="00EC16FF"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  <w:t>2.6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</w:pPr>
            <w:r w:rsidRPr="00EC16FF"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  <w:t>Dot-com bubble (and burst). Period of strong growth in economy in personal debt.</w:t>
            </w:r>
          </w:p>
        </w:tc>
      </w:tr>
      <w:tr w:rsidR="00023294" w:rsidRPr="00EC16FF" w:rsidTr="006133A1">
        <w:trPr>
          <w:trHeight w:val="1325"/>
          <w:tblCellSpacing w:w="15" w:type="dxa"/>
        </w:trPr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</w:pPr>
            <w:r w:rsidRPr="00EC16FF"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  <w:t>2003–13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</w:pPr>
            <w:r w:rsidRPr="00EC16FF"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  <w:t>3.3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23294" w:rsidRPr="00EC16FF" w:rsidRDefault="00023294" w:rsidP="006133A1">
            <w:pPr>
              <w:spacing w:before="150" w:after="0" w:line="240" w:lineRule="auto"/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</w:pPr>
            <w:r w:rsidRPr="00EC16FF">
              <w:rPr>
                <w:rFonts w:ascii="Tahoma" w:eastAsia="Times New Roman" w:hAnsi="Tahoma" w:cs="Tahoma"/>
                <w:color w:val="1D1D1D"/>
                <w:sz w:val="20"/>
                <w:szCs w:val="20"/>
                <w:lang w:eastAsia="en-GB"/>
              </w:rPr>
              <w:t>2000s boom ends in global financial crisis. Economies struggle to recover and government borrowing soars</w:t>
            </w:r>
          </w:p>
        </w:tc>
      </w:tr>
    </w:tbl>
    <w:p w:rsidR="005F043E" w:rsidRDefault="005F043E" w:rsidP="00EC16FF">
      <w:pPr>
        <w:spacing w:after="150" w:line="240" w:lineRule="auto"/>
        <w:outlineLvl w:val="2"/>
        <w:rPr>
          <w:rFonts w:ascii="Myriad Pro" w:eastAsia="Times New Roman" w:hAnsi="Myriad Pro" w:cs="Tahoma"/>
          <w:b/>
          <w:bCs/>
          <w:color w:val="000000"/>
          <w:sz w:val="20"/>
          <w:szCs w:val="20"/>
          <w:lang w:eastAsia="en-GB"/>
        </w:rPr>
      </w:pPr>
    </w:p>
    <w:sectPr w:rsidR="005F043E" w:rsidSect="0002329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119" w:rsidRDefault="00033119" w:rsidP="005F043E">
      <w:pPr>
        <w:spacing w:after="0" w:line="240" w:lineRule="auto"/>
      </w:pPr>
      <w:r>
        <w:separator/>
      </w:r>
    </w:p>
  </w:endnote>
  <w:endnote w:type="continuationSeparator" w:id="0">
    <w:p w:rsidR="00033119" w:rsidRDefault="00033119" w:rsidP="005F0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294" w:rsidRDefault="00023294">
    <w:pPr>
      <w:pStyle w:val="Footer"/>
    </w:pPr>
  </w:p>
  <w:p w:rsidR="005F043E" w:rsidRDefault="005F04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547560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023294" w:rsidRPr="00B17028" w:rsidRDefault="00023294" w:rsidP="00023294">
            <w:pPr>
              <w:pStyle w:val="Foo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:rsidR="00023294" w:rsidRPr="00BA5379" w:rsidRDefault="00023294" w:rsidP="00023294">
            <w:pPr>
              <w:pStyle w:val="Foo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8F20BA3" wp14:editId="08B535B9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104775</wp:posOffset>
                      </wp:positionV>
                      <wp:extent cx="59245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24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48EBAD8" id="Straight Connector 2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5pt,8.25pt" to="456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d3ftwEAAMMDAAAOAAAAZHJzL2Uyb0RvYy54bWysU8GOEzEMvSPxD1HudNoRRTDqdA9dwQVB&#10;xbIfkM04nUhJHDmhnf49TtrOIkBCIC6eOPGz/Z49m7vJO3EEShZDL1eLpRQQNA42HHr5+PX9q7dS&#10;pKzCoBwG6OUZkrzbvnyxOcUOWhzRDUCCk4TUnWIvx5xj1zRJj+BVWmCEwI8GyavMLh2agdSJs3vX&#10;tMvlm+aENERCDSnx7f3lUW5rfmNA58/GJMjC9ZJ7y9VStU/FNtuN6g6k4mj1tQ31D114ZQMXnVPd&#10;q6zEN7K/pPJWEyY0eaHRN2iM1VA5MJvV8ic2D6OKULmwOCnOMqX/l1Z/Ou5J2KGXrRRBeR7RQyZl&#10;D2MWOwyBBUQSbdHpFFPH4buwp6uX4p4K6cmQL1+mI6aq7XnWFqYsNF+u37Wv12segb69Nc/ASCl/&#10;APSiHHrpbCi0VaeOH1PmYhx6C2GnNHIpXU/57KAEu/AFDFPhYquKrksEO0fiqHj8SmsIeVWocL4a&#10;XWDGOjcDl38GXuMLFOqC/Q14RtTKGPIM9jYg/a56nm4tm0v8TYEL7yLBEw7nOpQqDW9KZXjd6rKK&#10;P/oV/vzvbb8DAAD//wMAUEsDBBQABgAIAAAAIQBLuirb3wAAAAkBAAAPAAAAZHJzL2Rvd25yZXYu&#10;eG1sTI9BS8NAEIXvBf/DMoK3dpOApcZsSimItSDFKtTjNjsm0exs2N026b93xIMe573Hm+8Vy9F2&#10;4ow+tI4UpLMEBFLlTEu1grfXh+kCRIiajO4coYILBliWV5NC58YN9ILnfawFl1DItYImxj6XMlQN&#10;Wh1mrkdi78N5qyOfvpbG64HLbSezJJlLq1viD43ucd1g9bU/WQXPfrNZr7aXT9q92+GQbQ+7p/FR&#10;qZvrcXUPIuIY/8Lwg8/oUDLT0Z3IBNEpmGYpb4lszG9BcOAuzVg4/gqyLOT/BeU3AAAA//8DAFBL&#10;AQItABQABgAIAAAAIQC2gziS/gAAAOEBAAATAAAAAAAAAAAAAAAAAAAAAABbQ29udGVudF9UeXBl&#10;c10ueG1sUEsBAi0AFAAGAAgAAAAhADj9If/WAAAAlAEAAAsAAAAAAAAAAAAAAAAALwEAAF9yZWxz&#10;Ly5yZWxzUEsBAi0AFAAGAAgAAAAhAFdx3d+3AQAAwwMAAA4AAAAAAAAAAAAAAAAALgIAAGRycy9l&#10;Mm9Eb2MueG1sUEsBAi0AFAAGAAgAAAAhAEu6KtvfAAAACQEAAA8AAAAAAAAAAAAAAAAAEQ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sdtContent>
      </w:sdt>
    </w:sdtContent>
  </w:sdt>
  <w:p w:rsidR="00023294" w:rsidRPr="00023294" w:rsidRDefault="00033119" w:rsidP="00023294">
    <w:pPr>
      <w:pStyle w:val="Footer"/>
      <w:rPr>
        <w:b/>
      </w:rPr>
    </w:pPr>
    <w:hyperlink r:id="rId1" w:history="1">
      <w:r w:rsidR="00023294" w:rsidRPr="00D57090">
        <w:rPr>
          <w:rStyle w:val="Hyperlink"/>
          <w:sz w:val="16"/>
          <w:szCs w:val="16"/>
        </w:rPr>
        <w:t>www.open.edu/openlearn</w:t>
      </w:r>
    </w:hyperlink>
    <w:r w:rsidR="00023294">
      <w:rPr>
        <w:sz w:val="16"/>
        <w:szCs w:val="16"/>
      </w:rPr>
      <w:tab/>
    </w:r>
    <w:r w:rsidR="00023294">
      <w:rPr>
        <w:sz w:val="16"/>
        <w:szCs w:val="16"/>
      </w:rPr>
      <w:tab/>
    </w:r>
    <w:r w:rsidR="00023294" w:rsidRPr="00023294">
      <w:rPr>
        <w:b/>
        <w:sz w:val="16"/>
        <w:szCs w:val="16"/>
      </w:rPr>
      <w:t>Page 1 of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119" w:rsidRDefault="00033119" w:rsidP="005F043E">
      <w:pPr>
        <w:spacing w:after="0" w:line="240" w:lineRule="auto"/>
      </w:pPr>
      <w:r>
        <w:separator/>
      </w:r>
    </w:p>
  </w:footnote>
  <w:footnote w:type="continuationSeparator" w:id="0">
    <w:p w:rsidR="00033119" w:rsidRDefault="00033119" w:rsidP="005F0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3E" w:rsidRDefault="005F043E">
    <w:pPr>
      <w:pStyle w:val="Header"/>
    </w:pPr>
  </w:p>
  <w:p w:rsidR="005F043E" w:rsidRDefault="005F04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3E" w:rsidRDefault="005F043E" w:rsidP="005F043E">
    <w:pPr>
      <w:pStyle w:val="Header"/>
    </w:pPr>
  </w:p>
  <w:tbl>
    <w:tblPr>
      <w:tblStyle w:val="TableGrid"/>
      <w:tblW w:w="0" w:type="auto"/>
      <w:tblInd w:w="-4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6064"/>
    </w:tblGrid>
    <w:tr w:rsidR="005F043E" w:rsidTr="006133A1">
      <w:tc>
        <w:tcPr>
          <w:tcW w:w="2376" w:type="dxa"/>
        </w:tcPr>
        <w:p w:rsidR="005F043E" w:rsidRPr="00BA5379" w:rsidRDefault="005F043E" w:rsidP="005F043E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name:</w:t>
          </w:r>
        </w:p>
      </w:tc>
      <w:tc>
        <w:tcPr>
          <w:tcW w:w="5954" w:type="dxa"/>
        </w:tcPr>
        <w:p w:rsidR="005F043E" w:rsidRDefault="005F043E" w:rsidP="005F043E">
          <w:pPr>
            <w:pStyle w:val="Header"/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64384" behindDoc="0" locked="0" layoutInCell="1" allowOverlap="1" wp14:anchorId="05087700" wp14:editId="30C9FE83">
                <wp:simplePos x="0" y="0"/>
                <wp:positionH relativeFrom="column">
                  <wp:posOffset>3913505</wp:posOffset>
                </wp:positionH>
                <wp:positionV relativeFrom="paragraph">
                  <wp:posOffset>-88265</wp:posOffset>
                </wp:positionV>
                <wp:extent cx="1022350" cy="723900"/>
                <wp:effectExtent l="0" t="0" r="6350" b="0"/>
                <wp:wrapNone/>
                <wp:docPr id="3" name="Picture 2" descr="OU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U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23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C4F17">
            <w:rPr>
              <w:rFonts w:ascii="Calibri" w:hAnsi="Calibri" w:cs="Tahoma"/>
              <w:bCs/>
              <w:color w:val="000000"/>
            </w:rPr>
            <w:t>Table 6: Real investment returns in the UK (% per annum)</w:t>
          </w:r>
        </w:p>
      </w:tc>
    </w:tr>
    <w:tr w:rsidR="005F043E" w:rsidTr="006133A1">
      <w:tc>
        <w:tcPr>
          <w:tcW w:w="2376" w:type="dxa"/>
        </w:tcPr>
        <w:p w:rsidR="005F043E" w:rsidRPr="00BA5379" w:rsidRDefault="005F043E" w:rsidP="005F043E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date:</w:t>
          </w:r>
        </w:p>
      </w:tc>
      <w:tc>
        <w:tcPr>
          <w:tcW w:w="5954" w:type="dxa"/>
        </w:tcPr>
        <w:p w:rsidR="005F043E" w:rsidRDefault="0025365C" w:rsidP="005F043E">
          <w:pPr>
            <w:pStyle w:val="Header"/>
          </w:pPr>
          <w:r>
            <w:t>2015</w:t>
          </w:r>
        </w:p>
      </w:tc>
    </w:tr>
    <w:tr w:rsidR="005F043E" w:rsidTr="006133A1">
      <w:tc>
        <w:tcPr>
          <w:tcW w:w="2376" w:type="dxa"/>
        </w:tcPr>
        <w:p w:rsidR="005F043E" w:rsidRPr="00BA5379" w:rsidRDefault="005F043E" w:rsidP="005F043E">
          <w:pPr>
            <w:pStyle w:val="Header"/>
            <w:rPr>
              <w:sz w:val="20"/>
              <w:szCs w:val="20"/>
            </w:rPr>
          </w:pP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5035B451" wp14:editId="37536144">
                    <wp:simplePos x="0" y="0"/>
                    <wp:positionH relativeFrom="column">
                      <wp:posOffset>-5238750</wp:posOffset>
                    </wp:positionH>
                    <wp:positionV relativeFrom="paragraph">
                      <wp:posOffset>294005</wp:posOffset>
                    </wp:positionV>
                    <wp:extent cx="6438900" cy="0"/>
                    <wp:effectExtent l="0" t="0" r="19050" b="19050"/>
                    <wp:wrapNone/>
                    <wp:docPr id="1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438900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w14:anchorId="5DAED8D4" id="Straight Connector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2.5pt,23.15pt" to="94.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kmOwQEAANQDAAAOAAAAZHJzL2Uyb0RvYy54bWysU8GO0zAQvSPxD5bvNGlByxI13UNXcEFQ&#10;scsHeJ1xY8n2WGPTtH/P2G2zCJAQiItje+a9mfc8Wd8dvRMHoGQx9HK5aKWAoHGwYd/Lr4/vX91K&#10;kbIKg3IYoJcnSPJu8/LFeoodrHBENwAJJgmpm2Ivx5xj1zRJj+BVWmCEwEGD5FXmI+2bgdTE7N41&#10;q7a9aSakIRJqSIlv789Buan8xoDOn41JkIXrJfeW60p1fSprs1mrbk8qjlZf2lD/0IVXNnDRmepe&#10;ZSW+kf2FyltNmNDkhUbfoDFWQ9XAapbtT2oeRhWhamFzUpxtSv+PVn867EjYgd9OiqA8P9FDJmX3&#10;YxZbDIENRBLL4tMUU8fp27CjyynFHRXRR0O+fFmOOFZvT7O3cMxC8+XNm9e371p+An2NNc/ASCl/&#10;APSibHrpbCiyVacOH1PmYpx6TSnXLoiJG169Zb4SLZ2de6m7fHJwTvsChrVx9WWlq1MFW0fioHge&#10;lNYQctXGBVzg7AIz1rkZ2P4ZeMkvUKgT9zfgGVErY8gz2NuA9Lvq+Xht2Zzzrw6cdRcLnnA41Veq&#10;1vDoVAsvY15m88dzhT//jJvvAAAA//8DAFBLAwQUAAYACAAAACEAddJZ7eAAAAAKAQAADwAAAGRy&#10;cy9kb3ducmV2LnhtbEyPzU7DMBCE70i8g7VI3FqHAlUa4lRVxY+gIKDwANt4G0eN11HspuHt64oD&#10;HHd2NPNNPh9sI3rqfO1YwdU4AUFcOl1zpeD762GUgvABWWPjmBT8kId5cX6WY6bdgT+pX4dKxBD2&#10;GSowIbSZlL40ZNGPXUscf1vXWQzx7CqpOzzEcNvISZJMpcWaY4PBlpaGyt16bxUsF/ePb8/0hLsV&#10;zj5WL6avtq/vSl1eDIs7EIGG8GeGE35EhyIybdyetReNglE6uY1jgoKb6TWIkyOdRWHzK8gil/8n&#10;FEcAAAD//wMAUEsBAi0AFAAGAAgAAAAhALaDOJL+AAAA4QEAABMAAAAAAAAAAAAAAAAAAAAAAFtD&#10;b250ZW50X1R5cGVzXS54bWxQSwECLQAUAAYACAAAACEAOP0h/9YAAACUAQAACwAAAAAAAAAAAAAA&#10;AAAvAQAAX3JlbHMvLnJlbHNQSwECLQAUAAYACAAAACEA+bpJjsEBAADUAwAADgAAAAAAAAAAAAAA&#10;AAAuAgAAZHJzL2Uyb0RvYy54bWxQSwECLQAUAAYACAAAACEAddJZ7eAAAAAKAQAADwAAAAAAAAAA&#10;AAAAAAAbBAAAZHJzL2Rvd25yZXYueG1sUEsFBgAAAAAEAAQA8wAAACgFAAAAAA==&#10;" strokecolor="#5b9bd5 [3204]" strokeweight="1pt">
                    <v:stroke joinstyle="miter"/>
                  </v:line>
                </w:pict>
              </mc:Fallback>
            </mc:AlternateContent>
          </w:r>
          <w:r w:rsidRPr="00BA5379">
            <w:rPr>
              <w:sz w:val="20"/>
              <w:szCs w:val="20"/>
            </w:rPr>
            <w:t>Copyright information:</w:t>
          </w:r>
        </w:p>
      </w:tc>
      <w:tc>
        <w:tcPr>
          <w:tcW w:w="5954" w:type="dxa"/>
        </w:tcPr>
        <w:p w:rsidR="005F043E" w:rsidRDefault="005F043E" w:rsidP="005F043E">
          <w:pPr>
            <w:pStyle w:val="Header"/>
          </w:pPr>
          <w:r>
            <w:t>C</w:t>
          </w:r>
          <w:r w:rsidRPr="00CE7A9C">
            <w:t>ontent is made available under a Creative Commons Attrib</w:t>
          </w:r>
          <w:r>
            <w:t>ution-</w:t>
          </w:r>
          <w:proofErr w:type="spellStart"/>
          <w:r>
            <w:t>NonCommercial</w:t>
          </w:r>
          <w:proofErr w:type="spellEnd"/>
          <w:r>
            <w:t>-</w:t>
          </w:r>
          <w:proofErr w:type="spellStart"/>
          <w:r>
            <w:t>ShareAlike</w:t>
          </w:r>
          <w:proofErr w:type="spellEnd"/>
          <w:r>
            <w:t xml:space="preserve"> 4</w:t>
          </w:r>
          <w:r w:rsidRPr="00CE7A9C">
            <w:t>.0 Licence</w:t>
          </w:r>
        </w:p>
      </w:tc>
    </w:tr>
    <w:tr w:rsidR="005F043E" w:rsidTr="006133A1">
      <w:tc>
        <w:tcPr>
          <w:tcW w:w="2376" w:type="dxa"/>
        </w:tcPr>
        <w:p w:rsidR="005F043E" w:rsidRPr="00BA5379" w:rsidRDefault="005F043E" w:rsidP="005F043E">
          <w:pPr>
            <w:pStyle w:val="Header"/>
            <w:rPr>
              <w:sz w:val="20"/>
              <w:szCs w:val="20"/>
            </w:rPr>
          </w:pPr>
          <w:proofErr w:type="spellStart"/>
          <w:r w:rsidRPr="00BA5379">
            <w:rPr>
              <w:sz w:val="20"/>
              <w:szCs w:val="20"/>
            </w:rPr>
            <w:t>OpenLearn</w:t>
          </w:r>
          <w:proofErr w:type="spellEnd"/>
          <w:r w:rsidRPr="00BA5379">
            <w:rPr>
              <w:sz w:val="20"/>
              <w:szCs w:val="20"/>
            </w:rPr>
            <w:t xml:space="preserve"> Study Unit:</w:t>
          </w:r>
        </w:p>
      </w:tc>
      <w:tc>
        <w:tcPr>
          <w:tcW w:w="5954" w:type="dxa"/>
        </w:tcPr>
        <w:p w:rsidR="005F043E" w:rsidRDefault="0025365C" w:rsidP="005F043E">
          <w:pPr>
            <w:pStyle w:val="Header"/>
          </w:pPr>
          <w:r>
            <w:t>Managing my Investments</w:t>
          </w:r>
        </w:p>
      </w:tc>
    </w:tr>
    <w:tr w:rsidR="005F043E" w:rsidTr="006133A1">
      <w:tc>
        <w:tcPr>
          <w:tcW w:w="2376" w:type="dxa"/>
        </w:tcPr>
        <w:p w:rsidR="005F043E" w:rsidRPr="00BA5379" w:rsidRDefault="005F043E" w:rsidP="005F043E">
          <w:pPr>
            <w:pStyle w:val="Header"/>
            <w:rPr>
              <w:sz w:val="20"/>
              <w:szCs w:val="20"/>
            </w:rPr>
          </w:pPr>
          <w:proofErr w:type="spellStart"/>
          <w:r w:rsidRPr="00BA5379">
            <w:rPr>
              <w:sz w:val="20"/>
              <w:szCs w:val="20"/>
            </w:rPr>
            <w:t>OpenLearn</w:t>
          </w:r>
          <w:proofErr w:type="spellEnd"/>
          <w:r w:rsidRPr="00BA5379">
            <w:rPr>
              <w:sz w:val="20"/>
              <w:szCs w:val="20"/>
            </w:rPr>
            <w:t xml:space="preserve"> url:</w:t>
          </w:r>
        </w:p>
      </w:tc>
      <w:tc>
        <w:tcPr>
          <w:tcW w:w="5954" w:type="dxa"/>
        </w:tcPr>
        <w:p w:rsidR="005F043E" w:rsidRDefault="0025365C" w:rsidP="005F043E">
          <w:pPr>
            <w:pStyle w:val="Header"/>
          </w:pPr>
          <w:hyperlink r:id="rId2" w:history="1">
            <w:r>
              <w:rPr>
                <w:rStyle w:val="Hyperlink"/>
                <w:rFonts w:eastAsia="Times New Roman"/>
              </w:rPr>
              <w:t>http://www.open.edu/openlearn/ocw/course/view.php?id=1269</w:t>
            </w:r>
          </w:hyperlink>
        </w:p>
      </w:tc>
    </w:tr>
  </w:tbl>
  <w:p w:rsidR="005F043E" w:rsidRDefault="005F04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6FF"/>
    <w:rsid w:val="00023294"/>
    <w:rsid w:val="00033119"/>
    <w:rsid w:val="000D744D"/>
    <w:rsid w:val="0025365C"/>
    <w:rsid w:val="005F043E"/>
    <w:rsid w:val="00CF587A"/>
    <w:rsid w:val="00EC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043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43E"/>
  </w:style>
  <w:style w:type="paragraph" w:styleId="Footer">
    <w:name w:val="footer"/>
    <w:basedOn w:val="Normal"/>
    <w:link w:val="FooterChar"/>
    <w:uiPriority w:val="99"/>
    <w:unhideWhenUsed/>
    <w:rsid w:val="005F04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43E"/>
  </w:style>
  <w:style w:type="table" w:styleId="TableGrid">
    <w:name w:val="Table Grid"/>
    <w:basedOn w:val="TableNormal"/>
    <w:uiPriority w:val="59"/>
    <w:rsid w:val="005F0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F043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F043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043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43E"/>
  </w:style>
  <w:style w:type="paragraph" w:styleId="Footer">
    <w:name w:val="footer"/>
    <w:basedOn w:val="Normal"/>
    <w:link w:val="FooterChar"/>
    <w:uiPriority w:val="99"/>
    <w:unhideWhenUsed/>
    <w:rsid w:val="005F04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43E"/>
  </w:style>
  <w:style w:type="table" w:styleId="TableGrid">
    <w:name w:val="Table Grid"/>
    <w:basedOn w:val="TableNormal"/>
    <w:uiPriority w:val="59"/>
    <w:rsid w:val="005F0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F043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F043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6163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9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57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1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29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4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34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48933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CFCFCF"/>
                                            <w:left w:val="none" w:sz="0" w:space="0" w:color="auto"/>
                                            <w:bottom w:val="single" w:sz="6" w:space="8" w:color="CFCFCF"/>
                                            <w:right w:val="none" w:sz="0" w:space="0" w:color="auto"/>
                                          </w:divBdr>
                                          <w:divsChild>
                                            <w:div w:id="882012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342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605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778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6259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4455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627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289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9199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en.edu/openlearn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en.edu/openlearn/ocw/course/view.php?id=1269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6CE56-7803-4CE7-A23A-03FE3894B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Donna.Howes</dc:creator>
  <cp:keywords/>
  <dc:description/>
  <cp:lastModifiedBy>Joel.Beckford</cp:lastModifiedBy>
  <cp:revision>3</cp:revision>
  <dcterms:created xsi:type="dcterms:W3CDTF">2015-10-27T13:37:00Z</dcterms:created>
  <dcterms:modified xsi:type="dcterms:W3CDTF">2015-10-29T14:31:00Z</dcterms:modified>
</cp:coreProperties>
</file>