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center" w:tblpY="-419"/>
        <w:tblW w:w="14567" w:type="dxa"/>
        <w:tblLayout w:type="fixed"/>
        <w:tblLook w:val="04A0" w:firstRow="1" w:lastRow="0" w:firstColumn="1" w:lastColumn="0" w:noHBand="0" w:noVBand="1"/>
      </w:tblPr>
      <w:tblGrid>
        <w:gridCol w:w="870"/>
        <w:gridCol w:w="4483"/>
        <w:gridCol w:w="851"/>
        <w:gridCol w:w="1204"/>
        <w:gridCol w:w="71"/>
        <w:gridCol w:w="851"/>
        <w:gridCol w:w="1134"/>
        <w:gridCol w:w="2835"/>
        <w:gridCol w:w="709"/>
        <w:gridCol w:w="1559"/>
      </w:tblGrid>
      <w:tr w:rsidR="00741513" w:rsidRPr="004548D5" w14:paraId="335B9794" w14:textId="77777777" w:rsidTr="004548D5">
        <w:tc>
          <w:tcPr>
            <w:tcW w:w="14567" w:type="dxa"/>
            <w:gridSpan w:val="10"/>
          </w:tcPr>
          <w:p w14:paraId="3E220D1A" w14:textId="77777777" w:rsidR="00741513" w:rsidRPr="004717E8" w:rsidRDefault="00080F87" w:rsidP="004548D5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4"/>
              </w:rPr>
            </w:pPr>
            <w:r w:rsidRPr="004717E8">
              <w:rPr>
                <w:rFonts w:asciiTheme="minorHAnsi" w:hAnsiTheme="minorHAnsi" w:cstheme="minorHAnsi"/>
                <w:b/>
                <w:color w:val="244061" w:themeColor="accent1" w:themeShade="80"/>
                <w:szCs w:val="24"/>
              </w:rPr>
              <w:t xml:space="preserve">Scottish Dyslexia Working Definition </w:t>
            </w:r>
            <w:r w:rsidR="00741513" w:rsidRPr="004717E8">
              <w:rPr>
                <w:rFonts w:asciiTheme="minorHAnsi" w:hAnsiTheme="minorHAnsi" w:cstheme="minorHAnsi"/>
                <w:b/>
                <w:color w:val="244061" w:themeColor="accent1" w:themeShade="80"/>
                <w:szCs w:val="24"/>
              </w:rPr>
              <w:t xml:space="preserve">Planning Tool </w:t>
            </w:r>
          </w:p>
          <w:p w14:paraId="3B5D712B" w14:textId="77777777" w:rsidR="004717E8" w:rsidRPr="004717E8" w:rsidRDefault="00741513" w:rsidP="004548D5">
            <w:pPr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</w:pPr>
            <w:r w:rsidRPr="004717E8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  <w:t xml:space="preserve">Access the </w:t>
            </w:r>
            <w:r w:rsidR="004717E8" w:rsidRPr="004717E8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  <w:t xml:space="preserve">full </w:t>
            </w:r>
            <w:hyperlink r:id="rId7" w:history="1">
              <w:r w:rsidR="004717E8" w:rsidRPr="00090908">
                <w:rPr>
                  <w:rStyle w:val="Hyperlink"/>
                  <w:rFonts w:asciiTheme="minorHAnsi" w:hAnsiTheme="minorHAnsi" w:cstheme="minorHAnsi"/>
                  <w:color w:val="000080" w:themeColor="hyperlink" w:themeShade="80"/>
                  <w:sz w:val="22"/>
                  <w:szCs w:val="22"/>
                </w:rPr>
                <w:t>working definition</w:t>
              </w:r>
              <w:r w:rsidR="00090908" w:rsidRPr="00090908">
                <w:rPr>
                  <w:rStyle w:val="Hyperlink"/>
                  <w:rFonts w:asciiTheme="minorHAnsi" w:hAnsiTheme="minorHAnsi" w:cstheme="minorHAnsi"/>
                  <w:color w:val="000080" w:themeColor="hyperlink" w:themeShade="80"/>
                  <w:sz w:val="22"/>
                  <w:szCs w:val="22"/>
                </w:rPr>
                <w:t xml:space="preserve"> of dyslexia</w:t>
              </w:r>
            </w:hyperlink>
            <w:r w:rsidR="00090908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  <w:t>.</w:t>
            </w:r>
            <w:r w:rsidR="00EF1569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  <w:t xml:space="preserve"> This planning tool provides opportunities to focus on the associated characteristics of dyslexia within the Scottish definition. </w:t>
            </w:r>
            <w:r w:rsidR="00090908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  <w:t xml:space="preserve"> </w:t>
            </w:r>
            <w:r w:rsidRPr="004717E8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  <w:t xml:space="preserve">Use this planning tool to record </w:t>
            </w:r>
            <w:r w:rsidR="004717E8" w:rsidRPr="004717E8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  <w:t xml:space="preserve">areas </w:t>
            </w:r>
            <w:r w:rsidR="004548D5" w:rsidRPr="004717E8">
              <w:rPr>
                <w:rFonts w:asciiTheme="minorHAnsi" w:hAnsiTheme="minorHAnsi" w:cstheme="minorHAnsi"/>
                <w:b/>
                <w:noProof/>
                <w:color w:val="244061" w:themeColor="accent1" w:themeShade="80"/>
                <w:szCs w:val="24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763400DA" wp14:editId="4411A148">
                  <wp:simplePos x="914400" y="80962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028700" cy="28702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dressing Dyslexia toolkit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953" cy="28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717E8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  <w:t xml:space="preserve">of </w:t>
            </w:r>
            <w:r w:rsidR="00105556" w:rsidRPr="004717E8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  <w:t xml:space="preserve">strength, difficulties and next </w:t>
            </w:r>
            <w:proofErr w:type="gramStart"/>
            <w:r w:rsidR="00105556" w:rsidRPr="004717E8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  <w:t>steps</w:t>
            </w:r>
            <w:r w:rsidR="00EF1569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  <w:t xml:space="preserve"> </w:t>
            </w:r>
            <w:r w:rsidR="00105556" w:rsidRPr="004717E8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  <w:t>.</w:t>
            </w:r>
            <w:proofErr w:type="gramEnd"/>
            <w:r w:rsidR="00105556" w:rsidRPr="004717E8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  <w:t xml:space="preserve"> </w:t>
            </w:r>
          </w:p>
          <w:p w14:paraId="0ACB467B" w14:textId="77777777" w:rsidR="00741513" w:rsidRPr="004548D5" w:rsidRDefault="004717E8" w:rsidP="004548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17E8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  <w:t xml:space="preserve">The information can be used within the </w:t>
            </w:r>
            <w:r w:rsidR="00AC5B41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  <w:t>identification pathway</w:t>
            </w:r>
            <w:r w:rsidRPr="004717E8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  <w:t xml:space="preserve"> and to </w:t>
            </w:r>
            <w:r w:rsidR="00105556" w:rsidRPr="004717E8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  <w:t>evaluate progress within an agreed time scale.</w:t>
            </w:r>
            <w:r w:rsidR="00105556" w:rsidRPr="004548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548D5" w:rsidRPr="004548D5" w14:paraId="6EEF23E9" w14:textId="77777777" w:rsidTr="00C05806">
        <w:trPr>
          <w:trHeight w:val="437"/>
        </w:trPr>
        <w:tc>
          <w:tcPr>
            <w:tcW w:w="870" w:type="dxa"/>
            <w:shd w:val="clear" w:color="auto" w:fill="BFBFBF" w:themeFill="background1" w:themeFillShade="BF"/>
          </w:tcPr>
          <w:p w14:paraId="5BD2D9C3" w14:textId="77777777" w:rsidR="004548D5" w:rsidRPr="004548D5" w:rsidRDefault="004548D5" w:rsidP="004548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48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Name </w:t>
            </w:r>
          </w:p>
        </w:tc>
        <w:tc>
          <w:tcPr>
            <w:tcW w:w="4483" w:type="dxa"/>
            <w:shd w:val="clear" w:color="auto" w:fill="F2F2F2" w:themeFill="background1" w:themeFillShade="F2"/>
            <w:vAlign w:val="center"/>
          </w:tcPr>
          <w:p w14:paraId="42F8F53E" w14:textId="77777777" w:rsidR="004548D5" w:rsidRPr="004548D5" w:rsidRDefault="004548D5" w:rsidP="004548D5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63E51879" w14:textId="77777777" w:rsidR="004548D5" w:rsidRPr="004548D5" w:rsidRDefault="004548D5" w:rsidP="004548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48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Class </w:t>
            </w: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66E8C8B3" w14:textId="77777777" w:rsidR="004548D5" w:rsidRPr="004548D5" w:rsidRDefault="004548D5" w:rsidP="004548D5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0B6866B4" w14:textId="77777777" w:rsidR="004548D5" w:rsidRPr="004548D5" w:rsidRDefault="004548D5" w:rsidP="004548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48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School 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  <w:vAlign w:val="center"/>
          </w:tcPr>
          <w:p w14:paraId="3F38BB8B" w14:textId="77777777" w:rsidR="004548D5" w:rsidRPr="004548D5" w:rsidRDefault="004548D5" w:rsidP="004548D5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E7F8727" w14:textId="77777777" w:rsidR="004548D5" w:rsidRPr="004548D5" w:rsidRDefault="004548D5" w:rsidP="004548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48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D70E431" w14:textId="77777777" w:rsidR="004548D5" w:rsidRPr="004548D5" w:rsidRDefault="004548D5" w:rsidP="004548D5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DFA" w:rsidRPr="004548D5" w14:paraId="5D8F5B9B" w14:textId="77777777" w:rsidTr="00A72536">
        <w:trPr>
          <w:trHeight w:val="1246"/>
        </w:trPr>
        <w:tc>
          <w:tcPr>
            <w:tcW w:w="7408" w:type="dxa"/>
            <w:gridSpan w:val="4"/>
          </w:tcPr>
          <w:p w14:paraId="67418213" w14:textId="77777777" w:rsidR="005F4DFA" w:rsidRDefault="005F4DFA" w:rsidP="005F4DFA">
            <w:p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Theme="minorHAnsi" w:hAnsiTheme="minorHAnsi" w:cstheme="minorHAnsi"/>
                <w:b/>
                <w:color w:val="244061" w:themeColor="accent1" w:themeShade="80"/>
                <w:szCs w:val="24"/>
                <w:lang w:eastAsia="en-GB"/>
              </w:rPr>
            </w:pPr>
            <w:r w:rsidRPr="00AC5B41">
              <w:rPr>
                <w:rFonts w:asciiTheme="minorHAnsi" w:hAnsiTheme="minorHAnsi" w:cstheme="minorHAnsi"/>
                <w:b/>
                <w:color w:val="244061" w:themeColor="accent1" w:themeShade="80"/>
                <w:szCs w:val="24"/>
                <w:lang w:eastAsia="en-GB"/>
              </w:rPr>
              <w:t>Auditory and/or visual processing of language-based information</w:t>
            </w:r>
          </w:p>
          <w:p w14:paraId="57280A69" w14:textId="77777777" w:rsidR="005F4DFA" w:rsidRPr="004548D5" w:rsidRDefault="005F4DFA" w:rsidP="004717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59" w:type="dxa"/>
            <w:gridSpan w:val="6"/>
          </w:tcPr>
          <w:p w14:paraId="3624537C" w14:textId="77777777" w:rsidR="005F4DFA" w:rsidRDefault="005F4DFA" w:rsidP="005F4DFA">
            <w:pPr>
              <w:jc w:val="left"/>
              <w:rPr>
                <w:rFonts w:asciiTheme="minorHAnsi" w:hAnsiTheme="minorHAnsi" w:cs="Calibri"/>
                <w:b/>
                <w:bCs/>
                <w:color w:val="244061" w:themeColor="accent1" w:themeShade="80"/>
                <w:szCs w:val="24"/>
                <w:lang w:val="en"/>
              </w:rPr>
            </w:pPr>
            <w:r w:rsidRPr="00AC5B41">
              <w:rPr>
                <w:rFonts w:asciiTheme="minorHAnsi" w:hAnsiTheme="minorHAnsi" w:cs="Calibri"/>
                <w:b/>
                <w:bCs/>
                <w:color w:val="244061" w:themeColor="accent1" w:themeShade="80"/>
                <w:szCs w:val="24"/>
                <w:lang w:val="en"/>
              </w:rPr>
              <w:t>Sequencing and Directionality</w:t>
            </w:r>
          </w:p>
          <w:p w14:paraId="2AA380C2" w14:textId="77777777" w:rsidR="005F4DFA" w:rsidRPr="00AC5B41" w:rsidRDefault="005F4DFA" w:rsidP="00AC5B41">
            <w:pPr>
              <w:jc w:val="left"/>
              <w:rPr>
                <w:rFonts w:asciiTheme="minorHAnsi" w:hAnsiTheme="minorHAnsi" w:cs="Calibri"/>
                <w:b/>
                <w:bCs/>
                <w:color w:val="244061" w:themeColor="accent1" w:themeShade="80"/>
                <w:szCs w:val="24"/>
                <w:lang w:val="en"/>
              </w:rPr>
            </w:pPr>
          </w:p>
        </w:tc>
      </w:tr>
      <w:tr w:rsidR="005F4DFA" w:rsidRPr="004548D5" w14:paraId="053C7A8D" w14:textId="77777777" w:rsidTr="005F4DFA">
        <w:trPr>
          <w:trHeight w:val="2682"/>
        </w:trPr>
        <w:tc>
          <w:tcPr>
            <w:tcW w:w="5353" w:type="dxa"/>
            <w:gridSpan w:val="2"/>
            <w:tcBorders>
              <w:right w:val="single" w:sz="12" w:space="0" w:color="0F243E" w:themeColor="text2" w:themeShade="80"/>
            </w:tcBorders>
          </w:tcPr>
          <w:p w14:paraId="5FBA2DF0" w14:textId="77777777" w:rsidR="005F4DFA" w:rsidRDefault="005F4DFA" w:rsidP="00080F87">
            <w:pPr>
              <w:pStyle w:val="ListParagraph"/>
              <w:ind w:left="0"/>
              <w:rPr>
                <w:rFonts w:asciiTheme="minorHAnsi" w:hAnsiTheme="minorHAnsi" w:cs="Calibri"/>
                <w:b/>
                <w:bCs/>
                <w:color w:val="244061" w:themeColor="accent1" w:themeShade="80"/>
                <w:lang w:val="en"/>
              </w:rPr>
            </w:pPr>
            <w:r w:rsidRPr="00AC5B41">
              <w:rPr>
                <w:rFonts w:asciiTheme="minorHAnsi" w:hAnsiTheme="minorHAnsi" w:cs="Calibri"/>
                <w:b/>
                <w:bCs/>
                <w:color w:val="244061" w:themeColor="accent1" w:themeShade="80"/>
                <w:lang w:val="en"/>
              </w:rPr>
              <w:t>Phonological Awareness</w:t>
            </w:r>
          </w:p>
          <w:p w14:paraId="048127DC" w14:textId="77777777" w:rsidR="005F4DFA" w:rsidRPr="00AC5B41" w:rsidRDefault="005F4DFA" w:rsidP="00080F87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244061" w:themeColor="accent1" w:themeShade="80"/>
                <w:lang w:val="en"/>
              </w:rPr>
            </w:pPr>
            <w:r w:rsidRPr="00AC5B41">
              <w:rPr>
                <w:rFonts w:asciiTheme="minorHAnsi" w:hAnsiTheme="minorHAnsi" w:cstheme="minorHAnsi"/>
                <w:b/>
                <w:color w:val="244061" w:themeColor="accent1" w:themeShade="80"/>
                <w:lang w:val="en"/>
              </w:rPr>
              <w:t xml:space="preserve">     </w:t>
            </w:r>
          </w:p>
          <w:p w14:paraId="69E2C3F7" w14:textId="77777777" w:rsidR="005F4DFA" w:rsidRPr="004548D5" w:rsidRDefault="005F4DFA" w:rsidP="00935EC7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111" w:type="dxa"/>
            <w:gridSpan w:val="5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</w:tcPr>
          <w:p w14:paraId="3B84B88B" w14:textId="77777777" w:rsidR="005F4DFA" w:rsidRPr="004548D5" w:rsidRDefault="005F4DFA" w:rsidP="004717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A86FDB" w14:textId="77777777" w:rsidR="005F4DFA" w:rsidRDefault="005F4DFA" w:rsidP="004717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D809B6" w14:textId="77777777" w:rsidR="005F4DFA" w:rsidRDefault="005F4DFA" w:rsidP="004717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F96D5A" w14:textId="77777777" w:rsidR="005F4DFA" w:rsidRPr="004548D5" w:rsidRDefault="005F4DFA" w:rsidP="004717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E4CE45" w14:textId="77777777" w:rsidR="005F4DFA" w:rsidRDefault="005F4DFA" w:rsidP="004717E8">
            <w:pPr>
              <w:rPr>
                <w:rFonts w:ascii="Century Gothic" w:hAnsi="Century Gothic" w:cstheme="minorHAnsi"/>
                <w:b/>
                <w:noProof/>
                <w:sz w:val="32"/>
                <w:szCs w:val="32"/>
                <w:lang w:eastAsia="en-GB"/>
              </w:rPr>
            </w:pPr>
            <w:r>
              <w:rPr>
                <w:rFonts w:ascii="Century Gothic" w:hAnsi="Century Gothic" w:cstheme="minorHAnsi"/>
                <w:b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73652B2F" wp14:editId="0B3696B9">
                  <wp:simplePos x="0" y="0"/>
                  <wp:positionH relativeFrom="margin">
                    <wp:posOffset>688340</wp:posOffset>
                  </wp:positionH>
                  <wp:positionV relativeFrom="margin">
                    <wp:posOffset>113030</wp:posOffset>
                  </wp:positionV>
                  <wp:extent cx="1181100" cy="657860"/>
                  <wp:effectExtent l="0" t="0" r="0" b="889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ottish Government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45" t="13568" r="3518" b="37688"/>
                          <a:stretch/>
                        </pic:blipFill>
                        <pic:spPr bwMode="auto">
                          <a:xfrm>
                            <a:off x="0" y="0"/>
                            <a:ext cx="1181100" cy="657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C9E5DD" w14:textId="77777777" w:rsidR="005F4DFA" w:rsidRPr="00EF1569" w:rsidRDefault="00EF1569" w:rsidP="004717E8">
            <w:pPr>
              <w:jc w:val="center"/>
              <w:rPr>
                <w:rStyle w:val="Hyperlink"/>
                <w:rFonts w:ascii="Century Gothic" w:hAnsi="Century Gothic" w:cstheme="minorHAnsi"/>
                <w:b/>
                <w:noProof/>
                <w:sz w:val="32"/>
                <w:szCs w:val="32"/>
                <w:lang w:eastAsia="en-GB"/>
              </w:rPr>
            </w:pPr>
            <w:r>
              <w:rPr>
                <w:rFonts w:ascii="Century Gothic" w:hAnsi="Century Gothic" w:cstheme="minorHAnsi"/>
                <w:b/>
                <w:noProof/>
                <w:color w:val="244061" w:themeColor="accent1" w:themeShade="80"/>
                <w:sz w:val="32"/>
                <w:szCs w:val="32"/>
                <w:lang w:eastAsia="en-GB"/>
              </w:rPr>
              <w:fldChar w:fldCharType="begin"/>
            </w:r>
            <w:r>
              <w:rPr>
                <w:rFonts w:ascii="Century Gothic" w:hAnsi="Century Gothic" w:cstheme="minorHAnsi"/>
                <w:b/>
                <w:noProof/>
                <w:color w:val="244061" w:themeColor="accent1" w:themeShade="80"/>
                <w:sz w:val="32"/>
                <w:szCs w:val="32"/>
                <w:lang w:eastAsia="en-GB"/>
              </w:rPr>
              <w:instrText xml:space="preserve"> HYPERLINK "http://addressingdyslexia.org/what-dyslexia" </w:instrText>
            </w:r>
            <w:r>
              <w:rPr>
                <w:rFonts w:ascii="Century Gothic" w:hAnsi="Century Gothic" w:cstheme="minorHAnsi"/>
                <w:b/>
                <w:noProof/>
                <w:color w:val="244061" w:themeColor="accent1" w:themeShade="80"/>
                <w:sz w:val="32"/>
                <w:szCs w:val="32"/>
                <w:lang w:eastAsia="en-GB"/>
              </w:rPr>
              <w:fldChar w:fldCharType="separate"/>
            </w:r>
            <w:r w:rsidR="005F4DFA" w:rsidRPr="00EF1569">
              <w:rPr>
                <w:rStyle w:val="Hyperlink"/>
                <w:rFonts w:ascii="Century Gothic" w:hAnsi="Century Gothic" w:cstheme="minorHAnsi"/>
                <w:b/>
                <w:noProof/>
                <w:sz w:val="32"/>
                <w:szCs w:val="32"/>
                <w:lang w:eastAsia="en-GB"/>
              </w:rPr>
              <w:t>Scottish Working</w:t>
            </w:r>
          </w:p>
          <w:p w14:paraId="66841CFC" w14:textId="77777777" w:rsidR="005F4DFA" w:rsidRPr="00EF1569" w:rsidRDefault="005F4DFA" w:rsidP="004717E8">
            <w:pPr>
              <w:jc w:val="center"/>
              <w:rPr>
                <w:rStyle w:val="Hyperlink"/>
                <w:rFonts w:ascii="Century Gothic" w:hAnsi="Century Gothic" w:cstheme="minorHAnsi"/>
                <w:b/>
                <w:noProof/>
                <w:sz w:val="32"/>
                <w:szCs w:val="32"/>
                <w:lang w:eastAsia="en-GB"/>
              </w:rPr>
            </w:pPr>
            <w:r w:rsidRPr="00EF1569">
              <w:rPr>
                <w:rStyle w:val="Hyperlink"/>
                <w:rFonts w:ascii="Century Gothic" w:hAnsi="Century Gothic" w:cstheme="minorHAnsi"/>
                <w:b/>
                <w:noProof/>
                <w:sz w:val="32"/>
                <w:szCs w:val="32"/>
                <w:lang w:eastAsia="en-GB"/>
              </w:rPr>
              <w:t>Definition</w:t>
            </w:r>
          </w:p>
          <w:p w14:paraId="7558D73F" w14:textId="77777777" w:rsidR="005F4DFA" w:rsidRPr="004717E8" w:rsidRDefault="005F4DFA" w:rsidP="004717E8">
            <w:pPr>
              <w:jc w:val="center"/>
              <w:rPr>
                <w:rFonts w:ascii="Century Gothic" w:hAnsi="Century Gothic" w:cstheme="minorHAnsi"/>
                <w:b/>
                <w:noProof/>
                <w:color w:val="244061" w:themeColor="accent1" w:themeShade="80"/>
                <w:sz w:val="32"/>
                <w:szCs w:val="32"/>
                <w:lang w:eastAsia="en-GB"/>
              </w:rPr>
            </w:pPr>
            <w:r w:rsidRPr="00EF1569">
              <w:rPr>
                <w:rStyle w:val="Hyperlink"/>
                <w:rFonts w:ascii="Century Gothic" w:hAnsi="Century Gothic" w:cstheme="minorHAnsi"/>
                <w:b/>
                <w:noProof/>
                <w:sz w:val="32"/>
                <w:szCs w:val="32"/>
                <w:lang w:eastAsia="en-GB"/>
              </w:rPr>
              <w:t>of Dyslexia</w:t>
            </w:r>
            <w:r w:rsidR="00EF1569">
              <w:rPr>
                <w:rFonts w:ascii="Century Gothic" w:hAnsi="Century Gothic" w:cstheme="minorHAnsi"/>
                <w:b/>
                <w:noProof/>
                <w:color w:val="244061" w:themeColor="accent1" w:themeShade="80"/>
                <w:sz w:val="32"/>
                <w:szCs w:val="32"/>
                <w:lang w:eastAsia="en-GB"/>
              </w:rPr>
              <w:fldChar w:fldCharType="end"/>
            </w:r>
          </w:p>
          <w:p w14:paraId="6C4674B6" w14:textId="77777777" w:rsidR="005F4DFA" w:rsidRPr="004548D5" w:rsidRDefault="005F4DFA" w:rsidP="005F4D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tcBorders>
              <w:left w:val="single" w:sz="12" w:space="0" w:color="0F243E" w:themeColor="text2" w:themeShade="80"/>
            </w:tcBorders>
          </w:tcPr>
          <w:p w14:paraId="65F84873" w14:textId="77777777" w:rsidR="005F4DFA" w:rsidRDefault="005F4DFA" w:rsidP="00AC5B41">
            <w:pPr>
              <w:jc w:val="left"/>
              <w:rPr>
                <w:rFonts w:asciiTheme="minorHAnsi" w:hAnsiTheme="minorHAnsi" w:cs="Calibri"/>
                <w:b/>
                <w:bCs/>
                <w:color w:val="244061" w:themeColor="accent1" w:themeShade="80"/>
                <w:szCs w:val="24"/>
                <w:lang w:val="en"/>
              </w:rPr>
            </w:pPr>
            <w:r w:rsidRPr="00AC5B41">
              <w:rPr>
                <w:rFonts w:asciiTheme="minorHAnsi" w:hAnsiTheme="minorHAnsi" w:cs="Calibri"/>
                <w:b/>
                <w:bCs/>
                <w:color w:val="244061" w:themeColor="accent1" w:themeShade="80"/>
                <w:szCs w:val="24"/>
                <w:lang w:val="en"/>
              </w:rPr>
              <w:t>Motor Skills and Co-Ordination</w:t>
            </w:r>
          </w:p>
          <w:p w14:paraId="010057FF" w14:textId="77777777" w:rsidR="005F4DFA" w:rsidRPr="00AC5B41" w:rsidRDefault="005F4DFA" w:rsidP="00A877DC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5F4DFA" w:rsidRPr="004548D5" w14:paraId="57B5CAE3" w14:textId="77777777" w:rsidTr="005F4DFA">
        <w:trPr>
          <w:trHeight w:val="895"/>
        </w:trPr>
        <w:tc>
          <w:tcPr>
            <w:tcW w:w="7408" w:type="dxa"/>
            <w:gridSpan w:val="4"/>
          </w:tcPr>
          <w:p w14:paraId="7C362D71" w14:textId="77777777" w:rsidR="005F4DFA" w:rsidRDefault="005F4DFA" w:rsidP="00AC5B41">
            <w:pPr>
              <w:tabs>
                <w:tab w:val="num" w:pos="284"/>
              </w:tabs>
              <w:jc w:val="left"/>
              <w:rPr>
                <w:rFonts w:asciiTheme="minorHAnsi" w:hAnsiTheme="minorHAnsi" w:cstheme="minorHAnsi"/>
                <w:b/>
                <w:color w:val="244061" w:themeColor="accent1" w:themeShade="80"/>
                <w:szCs w:val="24"/>
                <w:lang w:val="en"/>
              </w:rPr>
            </w:pPr>
            <w:r w:rsidRPr="00AC5B41">
              <w:rPr>
                <w:rFonts w:asciiTheme="minorHAnsi" w:hAnsiTheme="minorHAnsi" w:cs="Calibri"/>
                <w:b/>
                <w:bCs/>
                <w:color w:val="244061" w:themeColor="accent1" w:themeShade="80"/>
                <w:szCs w:val="24"/>
                <w:lang w:val="en"/>
              </w:rPr>
              <w:t xml:space="preserve">Oral Language Skills </w:t>
            </w:r>
            <w:r w:rsidRPr="00AC5B41">
              <w:rPr>
                <w:rFonts w:asciiTheme="minorHAnsi" w:hAnsiTheme="minorHAnsi" w:cstheme="minorHAnsi"/>
                <w:b/>
                <w:color w:val="244061" w:themeColor="accent1" w:themeShade="80"/>
                <w:szCs w:val="24"/>
                <w:lang w:val="en"/>
              </w:rPr>
              <w:t xml:space="preserve"> and Reading Fluency</w:t>
            </w:r>
          </w:p>
          <w:p w14:paraId="457A328F" w14:textId="77777777" w:rsidR="005F4DFA" w:rsidRDefault="005F4DFA" w:rsidP="005F4DFA">
            <w:pPr>
              <w:tabs>
                <w:tab w:val="num" w:pos="284"/>
              </w:tabs>
              <w:jc w:val="left"/>
              <w:rPr>
                <w:rFonts w:asciiTheme="minorHAnsi" w:hAnsiTheme="minorHAnsi" w:cstheme="minorHAnsi"/>
                <w:b/>
                <w:color w:val="244061" w:themeColor="accent1" w:themeShade="80"/>
                <w:szCs w:val="24"/>
                <w:lang w:val="en"/>
              </w:rPr>
            </w:pPr>
            <w:r w:rsidRPr="00AC5B41">
              <w:rPr>
                <w:rFonts w:asciiTheme="minorHAnsi" w:hAnsiTheme="minorHAnsi" w:cstheme="minorHAnsi"/>
                <w:b/>
                <w:color w:val="244061" w:themeColor="accent1" w:themeShade="80"/>
                <w:szCs w:val="24"/>
                <w:lang w:val="en"/>
              </w:rPr>
              <w:t xml:space="preserve"> </w:t>
            </w:r>
          </w:p>
          <w:p w14:paraId="7BF25EC1" w14:textId="77777777" w:rsidR="000D7EAA" w:rsidRDefault="000D7EAA" w:rsidP="005F4DFA">
            <w:pPr>
              <w:tabs>
                <w:tab w:val="num" w:pos="284"/>
              </w:tabs>
              <w:jc w:val="left"/>
              <w:rPr>
                <w:rFonts w:asciiTheme="minorHAnsi" w:hAnsiTheme="minorHAnsi" w:cstheme="minorHAnsi"/>
                <w:b/>
                <w:color w:val="244061" w:themeColor="accent1" w:themeShade="80"/>
                <w:szCs w:val="24"/>
                <w:lang w:val="en"/>
              </w:rPr>
            </w:pPr>
          </w:p>
          <w:p w14:paraId="1C2A04E8" w14:textId="77777777" w:rsidR="000D7EAA" w:rsidRPr="005F4DFA" w:rsidRDefault="000D7EAA" w:rsidP="005F4DFA">
            <w:pPr>
              <w:tabs>
                <w:tab w:val="num" w:pos="284"/>
              </w:tabs>
              <w:jc w:val="left"/>
              <w:rPr>
                <w:rFonts w:asciiTheme="minorHAnsi" w:hAnsiTheme="minorHAnsi" w:cstheme="minorHAnsi"/>
                <w:b/>
                <w:color w:val="244061" w:themeColor="accent1" w:themeShade="80"/>
                <w:szCs w:val="24"/>
                <w:lang w:val="en"/>
              </w:rPr>
            </w:pPr>
          </w:p>
        </w:tc>
        <w:tc>
          <w:tcPr>
            <w:tcW w:w="7159" w:type="dxa"/>
            <w:gridSpan w:val="6"/>
          </w:tcPr>
          <w:p w14:paraId="130AF640" w14:textId="77777777" w:rsidR="005F4DFA" w:rsidRDefault="005F4DFA" w:rsidP="00AC5B41">
            <w:pPr>
              <w:jc w:val="left"/>
              <w:rPr>
                <w:rFonts w:asciiTheme="minorHAnsi" w:hAnsiTheme="minorHAnsi" w:cstheme="minorHAnsi"/>
                <w:b/>
                <w:color w:val="244061" w:themeColor="accent1" w:themeShade="80"/>
                <w:szCs w:val="24"/>
              </w:rPr>
            </w:pPr>
            <w:r w:rsidRPr="00AC5B41">
              <w:rPr>
                <w:rFonts w:asciiTheme="minorHAnsi" w:hAnsiTheme="minorHAnsi" w:cstheme="minorHAnsi"/>
                <w:b/>
                <w:color w:val="244061" w:themeColor="accent1" w:themeShade="80"/>
                <w:szCs w:val="24"/>
              </w:rPr>
              <w:t xml:space="preserve">Organisational Ability </w:t>
            </w:r>
          </w:p>
          <w:p w14:paraId="2695B10B" w14:textId="77777777" w:rsidR="005F4DFA" w:rsidRPr="00AC5B41" w:rsidRDefault="005F4DFA" w:rsidP="00AC5B41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5F4DFA" w:rsidRPr="004548D5" w14:paraId="366F5D72" w14:textId="77777777" w:rsidTr="000D7EAA">
        <w:trPr>
          <w:trHeight w:val="1238"/>
        </w:trPr>
        <w:tc>
          <w:tcPr>
            <w:tcW w:w="7408" w:type="dxa"/>
            <w:gridSpan w:val="4"/>
          </w:tcPr>
          <w:p w14:paraId="743542C6" w14:textId="77777777" w:rsidR="005F4DFA" w:rsidRPr="005F4DFA" w:rsidRDefault="005F4DFA" w:rsidP="005F4DFA">
            <w:pPr>
              <w:jc w:val="left"/>
              <w:rPr>
                <w:rFonts w:asciiTheme="minorHAnsi" w:hAnsiTheme="minorHAnsi" w:cs="Calibri"/>
                <w:b/>
                <w:bCs/>
                <w:color w:val="244061" w:themeColor="accent1" w:themeShade="80"/>
                <w:szCs w:val="24"/>
                <w:lang w:val="en"/>
              </w:rPr>
            </w:pPr>
            <w:r w:rsidRPr="00AC5B41">
              <w:rPr>
                <w:rFonts w:asciiTheme="minorHAnsi" w:hAnsiTheme="minorHAnsi" w:cs="Calibri"/>
                <w:b/>
                <w:bCs/>
                <w:color w:val="244061" w:themeColor="accent1" w:themeShade="80"/>
                <w:szCs w:val="24"/>
                <w:lang w:val="en"/>
              </w:rPr>
              <w:t>Short-term and Working Memory</w:t>
            </w:r>
          </w:p>
        </w:tc>
        <w:tc>
          <w:tcPr>
            <w:tcW w:w="7159" w:type="dxa"/>
            <w:gridSpan w:val="6"/>
          </w:tcPr>
          <w:p w14:paraId="3A4F9DBE" w14:textId="77777777" w:rsidR="005F4DFA" w:rsidRDefault="005F4DFA" w:rsidP="00AC5B41">
            <w:pPr>
              <w:jc w:val="left"/>
              <w:rPr>
                <w:rFonts w:ascii="Calibri" w:hAnsi="Calibri" w:cs="Calibri"/>
                <w:b/>
                <w:color w:val="244061" w:themeColor="accent1" w:themeShade="80"/>
              </w:rPr>
            </w:pPr>
            <w:r w:rsidRPr="00AC5B41">
              <w:rPr>
                <w:rFonts w:ascii="Calibri" w:hAnsi="Calibri" w:cs="Calibri"/>
                <w:b/>
                <w:color w:val="244061" w:themeColor="accent1" w:themeShade="80"/>
              </w:rPr>
              <w:t xml:space="preserve">Number Skills   </w:t>
            </w:r>
          </w:p>
          <w:p w14:paraId="1B634696" w14:textId="77777777" w:rsidR="005F4DFA" w:rsidRDefault="005F4DFA" w:rsidP="00AC5B41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A97A3AF" w14:textId="77777777" w:rsidR="005F4DFA" w:rsidRPr="00AC5B41" w:rsidRDefault="005F4DFA" w:rsidP="00AC5B41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41513" w:rsidRPr="004548D5" w14:paraId="508C1373" w14:textId="77777777" w:rsidTr="004548D5">
        <w:tc>
          <w:tcPr>
            <w:tcW w:w="14567" w:type="dxa"/>
            <w:gridSpan w:val="10"/>
          </w:tcPr>
          <w:p w14:paraId="6960B554" w14:textId="77777777" w:rsidR="004548D5" w:rsidRPr="00AC5B41" w:rsidRDefault="00741513" w:rsidP="00AC5B41">
            <w:pPr>
              <w:jc w:val="left"/>
              <w:rPr>
                <w:rFonts w:asciiTheme="minorHAnsi" w:hAnsiTheme="minorHAnsi" w:cstheme="minorHAnsi"/>
                <w:color w:val="244061" w:themeColor="accent1" w:themeShade="80"/>
                <w:szCs w:val="24"/>
              </w:rPr>
            </w:pPr>
            <w:r w:rsidRPr="00AC5B41">
              <w:rPr>
                <w:rFonts w:asciiTheme="minorHAnsi" w:hAnsiTheme="minorHAnsi" w:cstheme="minorHAnsi"/>
                <w:b/>
                <w:color w:val="244061" w:themeColor="accent1" w:themeShade="80"/>
                <w:szCs w:val="24"/>
              </w:rPr>
              <w:t>Learning Environment</w:t>
            </w:r>
            <w:r w:rsidR="00105556" w:rsidRPr="00AC5B41">
              <w:rPr>
                <w:rFonts w:asciiTheme="minorHAnsi" w:hAnsiTheme="minorHAnsi" w:cstheme="minorHAnsi"/>
                <w:b/>
                <w:color w:val="244061" w:themeColor="accent1" w:themeShade="80"/>
                <w:szCs w:val="24"/>
              </w:rPr>
              <w:t>:</w:t>
            </w:r>
            <w:r w:rsidR="00105556" w:rsidRPr="00AC5B41">
              <w:rPr>
                <w:rFonts w:asciiTheme="minorHAnsi" w:hAnsiTheme="minorHAnsi" w:cstheme="minorHAnsi"/>
                <w:color w:val="244061" w:themeColor="accent1" w:themeShade="80"/>
                <w:szCs w:val="24"/>
              </w:rPr>
              <w:t xml:space="preserve">     </w:t>
            </w:r>
          </w:p>
          <w:p w14:paraId="3E194C54" w14:textId="77777777" w:rsidR="004548D5" w:rsidRDefault="004548D5" w:rsidP="004548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92132C" w14:textId="77777777" w:rsidR="004548D5" w:rsidRDefault="004548D5" w:rsidP="004548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F664F6" w14:textId="77777777" w:rsidR="004222B1" w:rsidRPr="004548D5" w:rsidRDefault="00105556" w:rsidP="004548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48D5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</w:t>
            </w:r>
          </w:p>
        </w:tc>
      </w:tr>
      <w:tr w:rsidR="004548D5" w:rsidRPr="004548D5" w14:paraId="752451F0" w14:textId="77777777" w:rsidTr="004548D5">
        <w:tc>
          <w:tcPr>
            <w:tcW w:w="14567" w:type="dxa"/>
            <w:gridSpan w:val="10"/>
          </w:tcPr>
          <w:p w14:paraId="28D2F3B4" w14:textId="77777777" w:rsidR="004548D5" w:rsidRPr="00AC5B41" w:rsidRDefault="004548D5" w:rsidP="00AC5B41">
            <w:pPr>
              <w:jc w:val="left"/>
              <w:rPr>
                <w:rFonts w:asciiTheme="minorHAnsi" w:hAnsiTheme="minorHAnsi" w:cstheme="minorHAnsi"/>
                <w:b/>
                <w:color w:val="244061" w:themeColor="accent1" w:themeShade="80"/>
                <w:szCs w:val="24"/>
              </w:rPr>
            </w:pPr>
            <w:r w:rsidRPr="00AC5B41">
              <w:rPr>
                <w:rFonts w:asciiTheme="minorHAnsi" w:hAnsiTheme="minorHAnsi" w:cstheme="minorHAnsi"/>
                <w:b/>
                <w:color w:val="244061" w:themeColor="accent1" w:themeShade="80"/>
                <w:szCs w:val="24"/>
              </w:rPr>
              <w:t>Next Steps:</w:t>
            </w:r>
          </w:p>
          <w:p w14:paraId="3FDBFA76" w14:textId="77777777" w:rsidR="004548D5" w:rsidRPr="004548D5" w:rsidRDefault="004548D5" w:rsidP="004548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D68528F" w14:textId="77777777" w:rsidR="00AC5B41" w:rsidRDefault="00AC5B41" w:rsidP="00E36759"/>
    <w:sectPr w:rsidR="00AC5B41" w:rsidSect="004548D5">
      <w:headerReference w:type="default" r:id="rId10"/>
      <w:footerReference w:type="default" r:id="rId11"/>
      <w:pgSz w:w="16838" w:h="11906" w:orient="landscape" w:code="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814D6" w14:textId="77777777" w:rsidR="00B06FB4" w:rsidRDefault="00B06FB4">
      <w:pPr>
        <w:spacing w:line="240" w:lineRule="auto"/>
      </w:pPr>
      <w:r>
        <w:separator/>
      </w:r>
    </w:p>
  </w:endnote>
  <w:endnote w:type="continuationSeparator" w:id="0">
    <w:p w14:paraId="0738FBB5" w14:textId="77777777" w:rsidR="00B06FB4" w:rsidRDefault="00B06F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43BE5" w14:textId="77777777" w:rsidR="003F2479" w:rsidRPr="0067486A" w:rsidRDefault="003F2479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0F95E" w14:textId="77777777" w:rsidR="00B06FB4" w:rsidRDefault="00B06FB4">
      <w:pPr>
        <w:spacing w:line="240" w:lineRule="auto"/>
      </w:pPr>
      <w:r>
        <w:separator/>
      </w:r>
    </w:p>
  </w:footnote>
  <w:footnote w:type="continuationSeparator" w:id="0">
    <w:p w14:paraId="6F8A15D8" w14:textId="77777777" w:rsidR="00B06FB4" w:rsidRDefault="00B06F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00F22" w14:textId="77777777" w:rsidR="003F2479" w:rsidRPr="0067486A" w:rsidRDefault="003F2479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E8C400C"/>
    <w:multiLevelType w:val="multilevel"/>
    <w:tmpl w:val="BA7E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1F"/>
    <w:rsid w:val="00080F87"/>
    <w:rsid w:val="00090908"/>
    <w:rsid w:val="000B6AE4"/>
    <w:rsid w:val="000D7EAA"/>
    <w:rsid w:val="00100021"/>
    <w:rsid w:val="00105556"/>
    <w:rsid w:val="001267F7"/>
    <w:rsid w:val="00157346"/>
    <w:rsid w:val="00192DC7"/>
    <w:rsid w:val="00260D11"/>
    <w:rsid w:val="0026476A"/>
    <w:rsid w:val="002F3688"/>
    <w:rsid w:val="00331E84"/>
    <w:rsid w:val="003C6733"/>
    <w:rsid w:val="003F2479"/>
    <w:rsid w:val="00411FC4"/>
    <w:rsid w:val="004222B1"/>
    <w:rsid w:val="004548D5"/>
    <w:rsid w:val="004717E8"/>
    <w:rsid w:val="0059634B"/>
    <w:rsid w:val="005F4DFA"/>
    <w:rsid w:val="00650C1F"/>
    <w:rsid w:val="0067486A"/>
    <w:rsid w:val="006D26F7"/>
    <w:rsid w:val="00741513"/>
    <w:rsid w:val="007549CD"/>
    <w:rsid w:val="00952710"/>
    <w:rsid w:val="009755B0"/>
    <w:rsid w:val="009D70AC"/>
    <w:rsid w:val="009F71B8"/>
    <w:rsid w:val="00A56EBA"/>
    <w:rsid w:val="00A66CD0"/>
    <w:rsid w:val="00A90A53"/>
    <w:rsid w:val="00AB54FF"/>
    <w:rsid w:val="00AC310B"/>
    <w:rsid w:val="00AC5B41"/>
    <w:rsid w:val="00AE01CB"/>
    <w:rsid w:val="00B06FB4"/>
    <w:rsid w:val="00C05806"/>
    <w:rsid w:val="00C86FBA"/>
    <w:rsid w:val="00D11FD0"/>
    <w:rsid w:val="00D80882"/>
    <w:rsid w:val="00E3599D"/>
    <w:rsid w:val="00E36759"/>
    <w:rsid w:val="00ED2F68"/>
    <w:rsid w:val="00EF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FBF67"/>
  <w15:docId w15:val="{532A596E-E319-443E-BC7F-E9B973AE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0C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C1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650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55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0F87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line="240" w:lineRule="auto"/>
      <w:ind w:left="720"/>
      <w:contextualSpacing/>
      <w:jc w:val="left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5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ddressingdyslexia.org/what-dyslexi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z610266</dc:creator>
  <cp:lastModifiedBy>Fran Foreman</cp:lastModifiedBy>
  <cp:revision>2</cp:revision>
  <dcterms:created xsi:type="dcterms:W3CDTF">2021-02-25T09:02:00Z</dcterms:created>
  <dcterms:modified xsi:type="dcterms:W3CDTF">2021-02-25T09:02:00Z</dcterms:modified>
</cp:coreProperties>
</file>