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AF8" w:rsidRPr="00682F86" w:rsidRDefault="004B4AF8" w:rsidP="00682F86">
      <w:pPr>
        <w:pStyle w:val="Heading1"/>
        <w:spacing w:before="120" w:after="240" w:line="276" w:lineRule="auto"/>
        <w:rPr>
          <w:color w:val="auto"/>
        </w:rPr>
      </w:pPr>
      <w:r w:rsidRPr="00682F86">
        <w:rPr>
          <w:color w:val="auto"/>
        </w:rPr>
        <w:t>TIDE APP programme</w:t>
      </w:r>
    </w:p>
    <w:p w:rsidR="004B4AF8" w:rsidRDefault="004B4AF8" w:rsidP="00682F86">
      <w:pPr>
        <w:pStyle w:val="Heading2"/>
        <w:spacing w:before="120" w:after="240" w:line="276" w:lineRule="auto"/>
      </w:pPr>
      <w:r>
        <w:t>Suggested further reading</w:t>
      </w:r>
    </w:p>
    <w:p w:rsidR="004B4AF8" w:rsidRDefault="004B4AF8" w:rsidP="00682F86">
      <w:pPr>
        <w:pStyle w:val="HEABulletPoints"/>
        <w:numPr>
          <w:ilvl w:val="0"/>
          <w:numId w:val="0"/>
        </w:numPr>
        <w:spacing w:before="120" w:after="240" w:line="276" w:lineRule="auto"/>
        <w:rPr>
          <w:rFonts w:ascii="Arial" w:hAnsi="Arial" w:cs="Arial"/>
          <w:sz w:val="24"/>
        </w:rPr>
      </w:pPr>
    </w:p>
    <w:p w:rsidR="004B4AF8" w:rsidRDefault="004B4AF8" w:rsidP="00E62DA3">
      <w:pPr>
        <w:pStyle w:val="HEABulletPoints"/>
        <w:numPr>
          <w:ilvl w:val="0"/>
          <w:numId w:val="0"/>
        </w:numPr>
        <w:spacing w:before="120" w:after="240" w:line="276" w:lineRule="auto"/>
        <w:contextualSpacing w:val="0"/>
        <w:rPr>
          <w:rFonts w:ascii="Arial" w:hAnsi="Arial" w:cs="Arial"/>
          <w:sz w:val="24"/>
        </w:rPr>
      </w:pPr>
      <w:r w:rsidRPr="004B4AF8">
        <w:rPr>
          <w:rFonts w:ascii="Arial" w:hAnsi="Arial" w:cs="Arial"/>
          <w:sz w:val="24"/>
        </w:rPr>
        <w:t xml:space="preserve">Biggs, J (2003) Aligning teaching and constructing learning </w:t>
      </w:r>
      <w:hyperlink r:id="rId5" w:history="1">
        <w:r w:rsidRPr="0078360F">
          <w:rPr>
            <w:rStyle w:val="Hyperlink"/>
            <w:rFonts w:ascii="Arial" w:hAnsi="Arial" w:cs="Arial"/>
            <w:sz w:val="24"/>
          </w:rPr>
          <w:t>https://www.advance-he.ac.uk/knowledge-hub/aligning-teaching-constructing-learning</w:t>
        </w:r>
      </w:hyperlink>
      <w:r>
        <w:rPr>
          <w:rFonts w:ascii="Arial" w:hAnsi="Arial" w:cs="Arial"/>
          <w:sz w:val="24"/>
        </w:rPr>
        <w:t xml:space="preserve"> </w:t>
      </w:r>
      <w:r w:rsidRPr="004B4AF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</w:p>
    <w:p w:rsidR="001D5F55" w:rsidRPr="001D5F55" w:rsidRDefault="001D5F55" w:rsidP="00E62DA3">
      <w:pPr>
        <w:pStyle w:val="HEABulletPoints"/>
        <w:numPr>
          <w:ilvl w:val="0"/>
          <w:numId w:val="0"/>
        </w:numPr>
        <w:spacing w:before="120" w:after="240" w:line="276" w:lineRule="auto"/>
        <w:contextualSpacing w:val="0"/>
        <w:rPr>
          <w:rFonts w:ascii="Arial" w:hAnsi="Arial" w:cs="Arial"/>
          <w:sz w:val="24"/>
        </w:rPr>
      </w:pPr>
      <w:proofErr w:type="spellStart"/>
      <w:r w:rsidRPr="001D5F55">
        <w:rPr>
          <w:rFonts w:ascii="Arial" w:hAnsi="Arial" w:cs="Arial"/>
          <w:sz w:val="24"/>
        </w:rPr>
        <w:t>Brame</w:t>
      </w:r>
      <w:proofErr w:type="spellEnd"/>
      <w:r w:rsidRPr="001D5F55">
        <w:rPr>
          <w:rFonts w:ascii="Arial" w:hAnsi="Arial" w:cs="Arial"/>
          <w:sz w:val="24"/>
        </w:rPr>
        <w:t xml:space="preserve">, </w:t>
      </w:r>
      <w:proofErr w:type="spellStart"/>
      <w:r w:rsidRPr="001D5F55">
        <w:rPr>
          <w:rFonts w:ascii="Arial" w:hAnsi="Arial" w:cs="Arial"/>
          <w:sz w:val="24"/>
        </w:rPr>
        <w:t>C.J.</w:t>
      </w:r>
      <w:proofErr w:type="spellEnd"/>
      <w:r w:rsidRPr="001D5F55">
        <w:rPr>
          <w:rFonts w:ascii="Arial" w:hAnsi="Arial" w:cs="Arial"/>
          <w:sz w:val="24"/>
        </w:rPr>
        <w:t xml:space="preserve"> (</w:t>
      </w:r>
      <w:proofErr w:type="spellStart"/>
      <w:r w:rsidRPr="001D5F55">
        <w:rPr>
          <w:rFonts w:ascii="Arial" w:hAnsi="Arial" w:cs="Arial"/>
          <w:sz w:val="24"/>
        </w:rPr>
        <w:t>n.d</w:t>
      </w:r>
      <w:proofErr w:type="spellEnd"/>
      <w:r w:rsidRPr="001D5F55">
        <w:rPr>
          <w:rFonts w:ascii="Arial" w:hAnsi="Arial" w:cs="Arial"/>
          <w:sz w:val="24"/>
        </w:rPr>
        <w:t xml:space="preserve">.). </w:t>
      </w:r>
      <w:proofErr w:type="gramStart"/>
      <w:r w:rsidRPr="001D5F55">
        <w:rPr>
          <w:rFonts w:ascii="Arial" w:hAnsi="Arial" w:cs="Arial"/>
          <w:sz w:val="24"/>
        </w:rPr>
        <w:t>Flipping the classroom [Webpage].</w:t>
      </w:r>
      <w:proofErr w:type="gramEnd"/>
      <w:r w:rsidRPr="001D5F55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1D5F55">
        <w:rPr>
          <w:rFonts w:ascii="Arial" w:hAnsi="Arial" w:cs="Arial"/>
          <w:sz w:val="24"/>
        </w:rPr>
        <w:t>Center</w:t>
      </w:r>
      <w:proofErr w:type="spellEnd"/>
      <w:r w:rsidRPr="001D5F55">
        <w:rPr>
          <w:rFonts w:ascii="Arial" w:hAnsi="Arial" w:cs="Arial"/>
          <w:sz w:val="24"/>
        </w:rPr>
        <w:t xml:space="preserve"> for Teaching at Vanderbilt University.</w:t>
      </w:r>
      <w:proofErr w:type="gramEnd"/>
      <w:r w:rsidRPr="001D5F55">
        <w:rPr>
          <w:rFonts w:ascii="Arial" w:hAnsi="Arial" w:cs="Arial"/>
          <w:sz w:val="24"/>
        </w:rPr>
        <w:t xml:space="preserve"> Retrieved from </w:t>
      </w:r>
      <w:hyperlink r:id="rId6" w:history="1">
        <w:r w:rsidRPr="001D5F55">
          <w:rPr>
            <w:rStyle w:val="Hyperlink"/>
            <w:rFonts w:ascii="Arial" w:hAnsi="Arial" w:cs="Arial"/>
            <w:sz w:val="24"/>
          </w:rPr>
          <w:t>https://cft.vanderbilt.edu/guides-sub-pages/flipping-the-clas</w:t>
        </w:r>
        <w:r w:rsidRPr="001D5F55">
          <w:rPr>
            <w:rStyle w:val="Hyperlink"/>
            <w:rFonts w:ascii="Arial" w:hAnsi="Arial" w:cs="Arial"/>
            <w:sz w:val="24"/>
          </w:rPr>
          <w:t>s</w:t>
        </w:r>
        <w:r w:rsidRPr="001D5F55">
          <w:rPr>
            <w:rStyle w:val="Hyperlink"/>
            <w:rFonts w:ascii="Arial" w:hAnsi="Arial" w:cs="Arial"/>
            <w:sz w:val="24"/>
          </w:rPr>
          <w:t>room/</w:t>
        </w:r>
      </w:hyperlink>
    </w:p>
    <w:p w:rsidR="00842A43" w:rsidRPr="001D5F55" w:rsidRDefault="00842A43" w:rsidP="00E62DA3">
      <w:pPr>
        <w:spacing w:before="120" w:after="240" w:line="276" w:lineRule="auto"/>
        <w:rPr>
          <w:rFonts w:ascii="Arial" w:eastAsia="Times New Roman" w:hAnsi="Arial" w:cs="Arial"/>
          <w:color w:val="666666"/>
          <w:sz w:val="24"/>
          <w:szCs w:val="24"/>
          <w:lang w:val="en-US"/>
        </w:rPr>
      </w:pPr>
      <w:r w:rsidRPr="001D5F55">
        <w:rPr>
          <w:rFonts w:ascii="Arial" w:eastAsia="Times New Roman" w:hAnsi="Arial" w:cs="Arial"/>
          <w:sz w:val="24"/>
          <w:szCs w:val="24"/>
          <w:lang w:eastAsia="en-GB"/>
        </w:rPr>
        <w:t xml:space="preserve">Davies, J.P. &amp; </w:t>
      </w:r>
      <w:proofErr w:type="spellStart"/>
      <w:r w:rsidRPr="001D5F55">
        <w:rPr>
          <w:rFonts w:ascii="Arial" w:eastAsia="Times New Roman" w:hAnsi="Arial" w:cs="Arial"/>
          <w:sz w:val="24"/>
          <w:szCs w:val="24"/>
          <w:lang w:eastAsia="en-GB"/>
        </w:rPr>
        <w:t>Pachler</w:t>
      </w:r>
      <w:proofErr w:type="spellEnd"/>
      <w:r w:rsidRPr="001D5F55">
        <w:rPr>
          <w:rFonts w:ascii="Arial" w:eastAsia="Times New Roman" w:hAnsi="Arial" w:cs="Arial"/>
          <w:sz w:val="24"/>
          <w:szCs w:val="24"/>
          <w:lang w:eastAsia="en-GB"/>
        </w:rPr>
        <w:t>, N. (2018) </w:t>
      </w:r>
      <w:r w:rsidRPr="001D5F55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Teaching and Learning in Higher Education. </w:t>
      </w:r>
      <w:r w:rsidR="007A3C11">
        <w:rPr>
          <w:rFonts w:ascii="Arial" w:eastAsia="Times New Roman" w:hAnsi="Arial" w:cs="Arial"/>
          <w:sz w:val="24"/>
          <w:szCs w:val="24"/>
          <w:lang w:eastAsia="en-GB"/>
        </w:rPr>
        <w:t>London, </w:t>
      </w:r>
      <w:proofErr w:type="spellStart"/>
      <w:r w:rsidR="007A3C11">
        <w:rPr>
          <w:rFonts w:ascii="Arial" w:eastAsia="Times New Roman" w:hAnsi="Arial" w:cs="Arial"/>
          <w:sz w:val="24"/>
          <w:szCs w:val="24"/>
          <w:lang w:eastAsia="en-GB"/>
        </w:rPr>
        <w:t>UCL</w:t>
      </w:r>
      <w:proofErr w:type="spellEnd"/>
      <w:r w:rsidR="007A3C1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7A3C11">
        <w:rPr>
          <w:rFonts w:ascii="Arial" w:eastAsia="Times New Roman" w:hAnsi="Arial" w:cs="Arial"/>
          <w:sz w:val="24"/>
          <w:szCs w:val="24"/>
          <w:lang w:eastAsia="en-GB"/>
        </w:rPr>
        <w:t>IOE</w:t>
      </w:r>
      <w:proofErr w:type="spellEnd"/>
      <w:r w:rsidR="007A3C11">
        <w:rPr>
          <w:rFonts w:ascii="Arial" w:eastAsia="Times New Roman" w:hAnsi="Arial" w:cs="Arial"/>
          <w:sz w:val="24"/>
          <w:szCs w:val="24"/>
          <w:lang w:eastAsia="en-GB"/>
        </w:rPr>
        <w:t xml:space="preserve"> P</w:t>
      </w:r>
      <w:r w:rsidRPr="001D5F55">
        <w:rPr>
          <w:rFonts w:ascii="Arial" w:eastAsia="Times New Roman" w:hAnsi="Arial" w:cs="Arial"/>
          <w:sz w:val="24"/>
          <w:szCs w:val="24"/>
          <w:lang w:eastAsia="en-GB"/>
        </w:rPr>
        <w:t>ress. </w:t>
      </w:r>
      <w:r w:rsidR="00682F86">
        <w:rPr>
          <w:rFonts w:ascii="Arial" w:eastAsia="Times New Roman" w:hAnsi="Arial" w:cs="Arial"/>
          <w:sz w:val="24"/>
          <w:szCs w:val="24"/>
          <w:lang w:eastAsia="en-GB"/>
        </w:rPr>
        <w:t xml:space="preserve">      </w:t>
      </w:r>
      <w:hyperlink r:id="rId7" w:history="1">
        <w:r w:rsidR="007A3C11" w:rsidRPr="007A3C11">
          <w:rPr>
            <w:rStyle w:val="Hyperlink"/>
            <w:rFonts w:ascii="Arial" w:hAnsi="Arial" w:cs="Arial"/>
            <w:sz w:val="24"/>
            <w:szCs w:val="24"/>
          </w:rPr>
          <w:t>https://www.researchgate.net/publication/336922413_Teaching_and_learning_in_higher_education_perspectives_from_UCL</w:t>
        </w:r>
      </w:hyperlink>
      <w:r w:rsidR="007A3C11">
        <w:rPr>
          <w:sz w:val="24"/>
          <w:szCs w:val="24"/>
        </w:rPr>
        <w:t xml:space="preserve"> </w:t>
      </w:r>
      <w:r w:rsidRPr="001D5F55">
        <w:rPr>
          <w:rFonts w:ascii="Arial" w:eastAsia="Times New Roman" w:hAnsi="Arial" w:cs="Arial"/>
          <w:sz w:val="24"/>
          <w:szCs w:val="24"/>
          <w:lang w:eastAsia="en-GB"/>
        </w:rPr>
        <w:t> (free eBook Download)</w:t>
      </w:r>
    </w:p>
    <w:p w:rsidR="001D5F55" w:rsidRDefault="001D5F55" w:rsidP="00E62DA3">
      <w:pPr>
        <w:pStyle w:val="HEABulletPoints"/>
        <w:numPr>
          <w:ilvl w:val="0"/>
          <w:numId w:val="0"/>
        </w:numPr>
        <w:spacing w:before="120" w:after="240" w:line="276" w:lineRule="auto"/>
        <w:contextualSpacing w:val="0"/>
        <w:rPr>
          <w:rFonts w:ascii="Arial" w:hAnsi="Arial" w:cs="Arial"/>
          <w:sz w:val="24"/>
        </w:rPr>
      </w:pPr>
      <w:r w:rsidRPr="001D5F55">
        <w:rPr>
          <w:rFonts w:ascii="Arial" w:hAnsi="Arial" w:cs="Arial"/>
          <w:sz w:val="24"/>
        </w:rPr>
        <w:t>Felder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R.M.</w:t>
      </w:r>
      <w:proofErr w:type="spellEnd"/>
      <w:r w:rsidR="00B61373">
        <w:rPr>
          <w:rFonts w:ascii="Arial" w:hAnsi="Arial" w:cs="Arial"/>
          <w:sz w:val="24"/>
        </w:rPr>
        <w:t xml:space="preserve"> (2009)</w:t>
      </w:r>
      <w:r w:rsidRPr="001D5F55">
        <w:rPr>
          <w:rFonts w:ascii="Arial" w:hAnsi="Arial" w:cs="Arial"/>
          <w:sz w:val="24"/>
        </w:rPr>
        <w:t xml:space="preserve"> Active Learning</w:t>
      </w:r>
      <w:r w:rsidR="00B61373">
        <w:rPr>
          <w:rFonts w:ascii="Arial" w:hAnsi="Arial" w:cs="Arial"/>
          <w:sz w:val="24"/>
        </w:rPr>
        <w:t xml:space="preserve"> w</w:t>
      </w:r>
      <w:r w:rsidR="00682F86">
        <w:rPr>
          <w:rFonts w:ascii="Arial" w:hAnsi="Arial" w:cs="Arial"/>
          <w:sz w:val="24"/>
        </w:rPr>
        <w:t>i</w:t>
      </w:r>
      <w:r w:rsidR="00B61373">
        <w:rPr>
          <w:rFonts w:ascii="Arial" w:hAnsi="Arial" w:cs="Arial"/>
          <w:sz w:val="24"/>
        </w:rPr>
        <w:t xml:space="preserve">th Dr Richard Felder </w:t>
      </w:r>
      <w:hyperlink r:id="rId8" w:history="1">
        <w:r w:rsidR="00B61373" w:rsidRPr="0078360F">
          <w:rPr>
            <w:rStyle w:val="Hyperlink"/>
            <w:rFonts w:ascii="Arial" w:hAnsi="Arial" w:cs="Arial"/>
            <w:sz w:val="24"/>
          </w:rPr>
          <w:t>https://www.youtube.com/watch?v=1J1URbdisYE</w:t>
        </w:r>
      </w:hyperlink>
      <w:r w:rsidR="00B61373">
        <w:rPr>
          <w:rFonts w:ascii="Arial" w:hAnsi="Arial" w:cs="Arial"/>
          <w:sz w:val="24"/>
        </w:rPr>
        <w:t xml:space="preserve"> </w:t>
      </w:r>
    </w:p>
    <w:p w:rsidR="00B61373" w:rsidRPr="00E62DA3" w:rsidRDefault="00B61373" w:rsidP="00E62DA3">
      <w:pPr>
        <w:pStyle w:val="HEABulletPoints"/>
        <w:numPr>
          <w:ilvl w:val="0"/>
          <w:numId w:val="0"/>
        </w:numPr>
        <w:spacing w:before="120" w:after="240" w:line="276" w:lineRule="auto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Felder, </w:t>
      </w:r>
      <w:proofErr w:type="spellStart"/>
      <w:r>
        <w:rPr>
          <w:rFonts w:ascii="Arial" w:hAnsi="Arial" w:cs="Arial"/>
          <w:sz w:val="24"/>
        </w:rPr>
        <w:t>R.M.</w:t>
      </w:r>
      <w:proofErr w:type="spellEnd"/>
      <w:r>
        <w:rPr>
          <w:rFonts w:ascii="Arial" w:hAnsi="Arial" w:cs="Arial"/>
          <w:sz w:val="24"/>
        </w:rPr>
        <w:t xml:space="preserve"> (2020) Education-related papers </w:t>
      </w:r>
      <w:r w:rsidR="00E62DA3">
        <w:rPr>
          <w:rFonts w:ascii="Arial" w:hAnsi="Arial" w:cs="Arial"/>
          <w:sz w:val="24"/>
        </w:rPr>
        <w:t xml:space="preserve">  </w:t>
      </w:r>
      <w:hyperlink r:id="rId9" w:history="1">
        <w:r w:rsidRPr="0078360F">
          <w:rPr>
            <w:rStyle w:val="Hyperlink"/>
            <w:sz w:val="24"/>
          </w:rPr>
          <w:t>https://www.engr.ncsu.edu/stem-resources/legacy-site/education-related-papers/</w:t>
        </w:r>
      </w:hyperlink>
      <w:r>
        <w:rPr>
          <w:sz w:val="24"/>
        </w:rPr>
        <w:t xml:space="preserve"> </w:t>
      </w:r>
    </w:p>
    <w:p w:rsidR="00682F86" w:rsidRDefault="00682F86" w:rsidP="00E62DA3">
      <w:pPr>
        <w:pStyle w:val="HEABulletPoints"/>
        <w:numPr>
          <w:ilvl w:val="0"/>
          <w:numId w:val="0"/>
        </w:numPr>
        <w:spacing w:before="120" w:after="240" w:line="276" w:lineRule="auto"/>
        <w:contextualSpacing w:val="0"/>
        <w:rPr>
          <w:sz w:val="24"/>
        </w:rPr>
      </w:pPr>
      <w:r w:rsidRPr="001D5F55">
        <w:rPr>
          <w:rFonts w:ascii="Arial" w:hAnsi="Arial" w:cs="Arial"/>
          <w:sz w:val="24"/>
        </w:rPr>
        <w:t xml:space="preserve">Felder, R.M. (2007). </w:t>
      </w:r>
      <w:proofErr w:type="gramStart"/>
      <w:r w:rsidRPr="001D5F55">
        <w:rPr>
          <w:rFonts w:ascii="Arial" w:hAnsi="Arial" w:cs="Arial"/>
          <w:sz w:val="24"/>
        </w:rPr>
        <w:t xml:space="preserve">The </w:t>
      </w:r>
      <w:r>
        <w:rPr>
          <w:rFonts w:ascii="Arial" w:hAnsi="Arial" w:cs="Arial"/>
          <w:sz w:val="24"/>
        </w:rPr>
        <w:t>case for inductive teaching.</w:t>
      </w:r>
      <w:proofErr w:type="gramEnd"/>
      <w:r w:rsidRPr="001D5F55">
        <w:rPr>
          <w:rFonts w:ascii="Arial" w:hAnsi="Arial" w:cs="Arial"/>
          <w:sz w:val="24"/>
        </w:rPr>
        <w:t xml:space="preserve"> Retrieved from </w:t>
      </w:r>
      <w:hyperlink r:id="rId10" w:history="1">
        <w:r w:rsidRPr="0078360F">
          <w:rPr>
            <w:rStyle w:val="Hyperlink"/>
            <w:sz w:val="24"/>
          </w:rPr>
          <w:t>https://www.engr.ncsu.edu/wp-content/uploads/drive/1L-zl5XFwGXzfYAkNBj7mqsrdiT6bRxk9/2007-Induction(PRISM).pdf</w:t>
        </w:r>
      </w:hyperlink>
      <w:r>
        <w:rPr>
          <w:sz w:val="24"/>
        </w:rPr>
        <w:t xml:space="preserve"> </w:t>
      </w:r>
    </w:p>
    <w:p w:rsidR="001D5F55" w:rsidRDefault="001D5F55" w:rsidP="00E62DA3">
      <w:pPr>
        <w:pStyle w:val="HEABulletPoints"/>
        <w:numPr>
          <w:ilvl w:val="0"/>
          <w:numId w:val="0"/>
        </w:numPr>
        <w:spacing w:before="120" w:after="240" w:line="276" w:lineRule="auto"/>
        <w:contextualSpacing w:val="0"/>
        <w:rPr>
          <w:sz w:val="24"/>
        </w:rPr>
      </w:pPr>
      <w:proofErr w:type="gramStart"/>
      <w:r w:rsidRPr="001D5F55">
        <w:rPr>
          <w:rFonts w:ascii="Arial" w:hAnsi="Arial" w:cs="Arial"/>
          <w:sz w:val="24"/>
        </w:rPr>
        <w:t>Gosling, D (Oct 2000) Guidelines for Peer Observation of L</w:t>
      </w:r>
      <w:r>
        <w:rPr>
          <w:rFonts w:ascii="Arial" w:hAnsi="Arial" w:cs="Arial"/>
          <w:sz w:val="24"/>
        </w:rPr>
        <w:t>earn</w:t>
      </w:r>
      <w:r w:rsidR="00B61373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ng </w:t>
      </w:r>
      <w:r w:rsidRPr="001D5F55">
        <w:rPr>
          <w:rFonts w:ascii="Arial" w:hAnsi="Arial" w:cs="Arial"/>
          <w:sz w:val="24"/>
        </w:rPr>
        <w:t>&amp;</w:t>
      </w:r>
      <w:r>
        <w:rPr>
          <w:rFonts w:ascii="Arial" w:hAnsi="Arial" w:cs="Arial"/>
          <w:sz w:val="24"/>
        </w:rPr>
        <w:t xml:space="preserve"> </w:t>
      </w:r>
      <w:r w:rsidRPr="001D5F55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eaching.</w:t>
      </w:r>
      <w:proofErr w:type="gramEnd"/>
      <w:r>
        <w:rPr>
          <w:rFonts w:ascii="Arial" w:hAnsi="Arial" w:cs="Arial"/>
          <w:sz w:val="24"/>
        </w:rPr>
        <w:t xml:space="preserve"> </w:t>
      </w:r>
      <w:r w:rsidRPr="001D5F55">
        <w:rPr>
          <w:rFonts w:ascii="Arial" w:hAnsi="Arial" w:cs="Arial"/>
          <w:sz w:val="24"/>
        </w:rPr>
        <w:t xml:space="preserve"> </w:t>
      </w:r>
      <w:hyperlink r:id="rId11" w:history="1">
        <w:r w:rsidR="00B61373" w:rsidRPr="0078360F">
          <w:rPr>
            <w:rStyle w:val="Hyperlink"/>
            <w:sz w:val="24"/>
          </w:rPr>
          <w:t>https://dera.ioe.ac.uk/13069/1/gosling.pdf</w:t>
        </w:r>
      </w:hyperlink>
      <w:r w:rsidR="00B61373">
        <w:rPr>
          <w:sz w:val="24"/>
        </w:rPr>
        <w:t xml:space="preserve"> </w:t>
      </w:r>
    </w:p>
    <w:p w:rsidR="001D5F55" w:rsidRDefault="001D5F55" w:rsidP="00E62DA3">
      <w:pPr>
        <w:spacing w:before="120" w:after="240" w:line="276" w:lineRule="auto"/>
        <w:rPr>
          <w:rFonts w:ascii="Arial" w:hAnsi="Arial" w:cs="Arial"/>
          <w:sz w:val="24"/>
          <w:szCs w:val="24"/>
        </w:rPr>
      </w:pPr>
      <w:proofErr w:type="spellStart"/>
      <w:r w:rsidRPr="001D5F55">
        <w:rPr>
          <w:rFonts w:ascii="Arial" w:hAnsi="Arial" w:cs="Arial"/>
          <w:sz w:val="24"/>
          <w:szCs w:val="24"/>
        </w:rPr>
        <w:t>Henard</w:t>
      </w:r>
      <w:proofErr w:type="spellEnd"/>
      <w:r w:rsidRPr="001D5F55">
        <w:rPr>
          <w:rFonts w:ascii="Arial" w:hAnsi="Arial" w:cs="Arial"/>
          <w:sz w:val="24"/>
          <w:szCs w:val="24"/>
        </w:rPr>
        <w:t xml:space="preserve">, F. and </w:t>
      </w:r>
      <w:proofErr w:type="spellStart"/>
      <w:r w:rsidRPr="001D5F55">
        <w:rPr>
          <w:rFonts w:ascii="Arial" w:hAnsi="Arial" w:cs="Arial"/>
          <w:sz w:val="24"/>
          <w:szCs w:val="24"/>
        </w:rPr>
        <w:t>Roseveare</w:t>
      </w:r>
      <w:proofErr w:type="spellEnd"/>
      <w:r w:rsidRPr="001D5F55">
        <w:rPr>
          <w:rFonts w:ascii="Arial" w:hAnsi="Arial" w:cs="Arial"/>
          <w:sz w:val="24"/>
          <w:szCs w:val="24"/>
        </w:rPr>
        <w:t xml:space="preserve">, D. (2012), </w:t>
      </w:r>
      <w:r w:rsidRPr="001D5F55">
        <w:rPr>
          <w:rFonts w:ascii="Arial" w:hAnsi="Arial" w:cs="Arial"/>
          <w:i/>
          <w:iCs/>
          <w:sz w:val="24"/>
          <w:szCs w:val="24"/>
        </w:rPr>
        <w:t>Fostering Quality Teaching in Higher Education: Policies and Practices</w:t>
      </w:r>
      <w:r w:rsidRPr="001D5F55">
        <w:rPr>
          <w:rFonts w:ascii="Arial" w:hAnsi="Arial" w:cs="Arial"/>
          <w:sz w:val="24"/>
          <w:szCs w:val="24"/>
        </w:rPr>
        <w:t xml:space="preserve">, An IMHE Guide for Higher Education Institutions, </w:t>
      </w:r>
      <w:proofErr w:type="gramStart"/>
      <w:r w:rsidRPr="001D5F55">
        <w:rPr>
          <w:rFonts w:ascii="Arial" w:hAnsi="Arial" w:cs="Arial"/>
          <w:sz w:val="24"/>
          <w:szCs w:val="24"/>
        </w:rPr>
        <w:t>OEC</w:t>
      </w:r>
      <w:r>
        <w:rPr>
          <w:rFonts w:ascii="Arial" w:hAnsi="Arial" w:cs="Arial"/>
          <w:sz w:val="24"/>
          <w:szCs w:val="24"/>
        </w:rPr>
        <w:t xml:space="preserve">D  </w:t>
      </w:r>
      <w:proofErr w:type="gramEnd"/>
      <w:r w:rsidRPr="001D5F55">
        <w:rPr>
          <w:sz w:val="24"/>
          <w:szCs w:val="24"/>
        </w:rPr>
        <w:fldChar w:fldCharType="begin"/>
      </w:r>
      <w:r w:rsidRPr="001D5F55">
        <w:rPr>
          <w:sz w:val="24"/>
          <w:szCs w:val="24"/>
        </w:rPr>
        <w:instrText>HYPERLINK "http://www.oecd.org/edu/imhe/QT%20policies%20and%20practices.pdf"</w:instrText>
      </w:r>
      <w:r w:rsidRPr="001D5F55">
        <w:rPr>
          <w:sz w:val="24"/>
          <w:szCs w:val="24"/>
        </w:rPr>
        <w:fldChar w:fldCharType="separate"/>
      </w:r>
      <w:r w:rsidRPr="001D5F55">
        <w:rPr>
          <w:rStyle w:val="Hyperlink"/>
          <w:rFonts w:ascii="Arial" w:hAnsi="Arial" w:cs="Arial"/>
          <w:sz w:val="24"/>
          <w:szCs w:val="24"/>
        </w:rPr>
        <w:t>http://www.oecd.org/edu/imhe/Q</w:t>
      </w:r>
      <w:r w:rsidRPr="001D5F55">
        <w:rPr>
          <w:rStyle w:val="Hyperlink"/>
          <w:rFonts w:ascii="Arial" w:hAnsi="Arial" w:cs="Arial"/>
          <w:sz w:val="24"/>
          <w:szCs w:val="24"/>
        </w:rPr>
        <w:t>T</w:t>
      </w:r>
      <w:r w:rsidRPr="001D5F55">
        <w:rPr>
          <w:rStyle w:val="Hyperlink"/>
          <w:rFonts w:ascii="Arial" w:hAnsi="Arial" w:cs="Arial"/>
          <w:sz w:val="24"/>
          <w:szCs w:val="24"/>
        </w:rPr>
        <w:t>%20policies%20and%20practices.pdf</w:t>
      </w:r>
      <w:r w:rsidRPr="001D5F55">
        <w:rPr>
          <w:sz w:val="24"/>
          <w:szCs w:val="24"/>
        </w:rPr>
        <w:fldChar w:fldCharType="end"/>
      </w:r>
      <w:r w:rsidRPr="001D5F55">
        <w:rPr>
          <w:rFonts w:ascii="Arial" w:hAnsi="Arial" w:cs="Arial"/>
          <w:sz w:val="24"/>
          <w:szCs w:val="24"/>
        </w:rPr>
        <w:t xml:space="preserve"> </w:t>
      </w:r>
    </w:p>
    <w:p w:rsidR="00682F86" w:rsidRPr="00682F86" w:rsidRDefault="00682F86" w:rsidP="00E62DA3">
      <w:pPr>
        <w:spacing w:before="120" w:after="240" w:line="276" w:lineRule="auto"/>
        <w:rPr>
          <w:rFonts w:ascii="Arial" w:hAnsi="Arial" w:cs="Arial"/>
          <w:sz w:val="24"/>
          <w:szCs w:val="24"/>
        </w:rPr>
      </w:pPr>
      <w:r w:rsidRPr="00682F86">
        <w:rPr>
          <w:rFonts w:ascii="Arial" w:hAnsi="Arial" w:cs="Arial"/>
          <w:sz w:val="24"/>
          <w:szCs w:val="24"/>
        </w:rPr>
        <w:t xml:space="preserve">Kurt, S. "Bloom’s Taxonomy," in Educational Technology, December 15, 2020. Retrieved from </w:t>
      </w:r>
      <w:hyperlink r:id="rId12" w:history="1">
        <w:r w:rsidRPr="0078360F">
          <w:rPr>
            <w:rStyle w:val="Hyperlink"/>
            <w:rFonts w:ascii="Arial" w:hAnsi="Arial" w:cs="Arial"/>
            <w:sz w:val="24"/>
            <w:szCs w:val="24"/>
          </w:rPr>
          <w:t>https://educationaltechnology.net/blooms-taxonomy/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682F86" w:rsidRPr="001D5F55" w:rsidRDefault="00682F86" w:rsidP="00E62DA3">
      <w:pPr>
        <w:spacing w:before="120" w:after="240" w:line="276" w:lineRule="auto"/>
        <w:rPr>
          <w:rFonts w:ascii="Arial" w:hAnsi="Arial" w:cs="Arial"/>
          <w:sz w:val="24"/>
          <w:szCs w:val="24"/>
        </w:rPr>
      </w:pPr>
      <w:r w:rsidRPr="00682F86">
        <w:rPr>
          <w:rFonts w:ascii="Arial" w:hAnsi="Arial" w:cs="Arial"/>
          <w:sz w:val="24"/>
          <w:szCs w:val="24"/>
        </w:rPr>
        <w:t>Kurt, S. "</w:t>
      </w:r>
      <w:proofErr w:type="spellStart"/>
      <w:r w:rsidRPr="00682F86">
        <w:rPr>
          <w:rFonts w:ascii="Arial" w:hAnsi="Arial" w:cs="Arial"/>
          <w:sz w:val="24"/>
          <w:szCs w:val="24"/>
        </w:rPr>
        <w:t>Vygotsky’s</w:t>
      </w:r>
      <w:proofErr w:type="spellEnd"/>
      <w:r w:rsidRPr="00682F86">
        <w:rPr>
          <w:rFonts w:ascii="Arial" w:hAnsi="Arial" w:cs="Arial"/>
          <w:sz w:val="24"/>
          <w:szCs w:val="24"/>
        </w:rPr>
        <w:t xml:space="preserve"> Zone of Proximal Development and Scaffolding," in Educational Technology, July 11, 2020. Retrieved from </w:t>
      </w:r>
      <w:hyperlink r:id="rId13" w:history="1">
        <w:r w:rsidRPr="0078360F">
          <w:rPr>
            <w:rStyle w:val="Hyperlink"/>
            <w:rFonts w:ascii="Arial" w:hAnsi="Arial" w:cs="Arial"/>
            <w:sz w:val="24"/>
            <w:szCs w:val="24"/>
          </w:rPr>
          <w:t>https://educationaltechnology.net/vygotskys-zone-of-proximal-development-and-scaffolding/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D5F55" w:rsidRDefault="001D5F55" w:rsidP="00E62DA3">
      <w:pPr>
        <w:pStyle w:val="HEABulletPoints"/>
        <w:numPr>
          <w:ilvl w:val="0"/>
          <w:numId w:val="0"/>
        </w:numPr>
        <w:spacing w:before="120" w:after="240" w:line="276" w:lineRule="auto"/>
        <w:contextualSpacing w:val="0"/>
        <w:rPr>
          <w:rFonts w:ascii="Arial" w:hAnsi="Arial" w:cs="Arial"/>
          <w:sz w:val="24"/>
        </w:rPr>
      </w:pPr>
      <w:proofErr w:type="gramStart"/>
      <w:r w:rsidRPr="001D5F55">
        <w:rPr>
          <w:rFonts w:ascii="Arial" w:hAnsi="Arial" w:cs="Arial"/>
          <w:sz w:val="24"/>
        </w:rPr>
        <w:t>Major, C. H. (2015).</w:t>
      </w:r>
      <w:proofErr w:type="gramEnd"/>
      <w:r w:rsidRPr="001D5F55">
        <w:rPr>
          <w:rFonts w:ascii="Arial" w:hAnsi="Arial" w:cs="Arial"/>
          <w:sz w:val="24"/>
        </w:rPr>
        <w:t xml:space="preserve"> </w:t>
      </w:r>
      <w:proofErr w:type="gramStart"/>
      <w:r w:rsidRPr="001D5F55">
        <w:rPr>
          <w:rFonts w:ascii="Arial" w:hAnsi="Arial" w:cs="Arial"/>
          <w:sz w:val="24"/>
        </w:rPr>
        <w:t>Choosing the best approach for small group work.</w:t>
      </w:r>
      <w:proofErr w:type="gramEnd"/>
      <w:r w:rsidRPr="001D5F55">
        <w:rPr>
          <w:rFonts w:ascii="Arial" w:hAnsi="Arial" w:cs="Arial"/>
          <w:sz w:val="24"/>
        </w:rPr>
        <w:t xml:space="preserve"> </w:t>
      </w:r>
      <w:proofErr w:type="gramStart"/>
      <w:r w:rsidRPr="001D5F55">
        <w:rPr>
          <w:rFonts w:ascii="Arial" w:hAnsi="Arial" w:cs="Arial"/>
          <w:sz w:val="24"/>
        </w:rPr>
        <w:t>Faculty Focus.</w:t>
      </w:r>
      <w:proofErr w:type="gramEnd"/>
      <w:r w:rsidRPr="001D5F55">
        <w:rPr>
          <w:rFonts w:ascii="Arial" w:hAnsi="Arial" w:cs="Arial"/>
          <w:sz w:val="24"/>
        </w:rPr>
        <w:t xml:space="preserve"> </w:t>
      </w:r>
      <w:proofErr w:type="gramStart"/>
      <w:r w:rsidRPr="001D5F55">
        <w:rPr>
          <w:rFonts w:ascii="Arial" w:hAnsi="Arial" w:cs="Arial"/>
          <w:sz w:val="24"/>
        </w:rPr>
        <w:t>Magna Publications.</w:t>
      </w:r>
      <w:proofErr w:type="gramEnd"/>
      <w:r w:rsidRPr="001D5F55">
        <w:rPr>
          <w:rFonts w:ascii="Arial" w:hAnsi="Arial" w:cs="Arial"/>
          <w:sz w:val="24"/>
        </w:rPr>
        <w:t xml:space="preserve"> Retrieved from </w:t>
      </w:r>
      <w:hyperlink r:id="rId14" w:history="1">
        <w:r w:rsidRPr="001D5F55">
          <w:rPr>
            <w:rStyle w:val="Hyperlink"/>
            <w:rFonts w:ascii="Arial" w:hAnsi="Arial" w:cs="Arial"/>
            <w:sz w:val="24"/>
          </w:rPr>
          <w:t>http://www.facultyfocus.com/articles/effective-teaching-strategies/choosing-the-best-approach-for-small-group-</w:t>
        </w:r>
        <w:r w:rsidRPr="001D5F55">
          <w:rPr>
            <w:rStyle w:val="Hyperlink"/>
            <w:rFonts w:ascii="Arial" w:hAnsi="Arial" w:cs="Arial"/>
            <w:sz w:val="24"/>
          </w:rPr>
          <w:t>w</w:t>
        </w:r>
        <w:r w:rsidRPr="001D5F55">
          <w:rPr>
            <w:rStyle w:val="Hyperlink"/>
            <w:rFonts w:ascii="Arial" w:hAnsi="Arial" w:cs="Arial"/>
            <w:sz w:val="24"/>
          </w:rPr>
          <w:t>ork/</w:t>
        </w:r>
      </w:hyperlink>
      <w:r w:rsidRPr="001D5F55">
        <w:rPr>
          <w:rFonts w:ascii="Arial" w:hAnsi="Arial" w:cs="Arial"/>
          <w:sz w:val="24"/>
        </w:rPr>
        <w:t xml:space="preserve">  </w:t>
      </w:r>
    </w:p>
    <w:p w:rsidR="001D5F55" w:rsidRPr="001D5F55" w:rsidRDefault="001D5F55" w:rsidP="00E62DA3">
      <w:pPr>
        <w:pStyle w:val="Bullet"/>
        <w:spacing w:before="120" w:line="276" w:lineRule="auto"/>
        <w:ind w:left="0"/>
        <w:contextualSpacing w:val="0"/>
        <w:rPr>
          <w:sz w:val="24"/>
          <w:szCs w:val="24"/>
        </w:rPr>
      </w:pPr>
      <w:r w:rsidRPr="001D5F55">
        <w:rPr>
          <w:sz w:val="24"/>
          <w:szCs w:val="24"/>
        </w:rPr>
        <w:lastRenderedPageBreak/>
        <w:t xml:space="preserve">OECD, (2008) </w:t>
      </w:r>
      <w:proofErr w:type="gramStart"/>
      <w:r w:rsidRPr="001D5F55">
        <w:rPr>
          <w:i/>
          <w:sz w:val="24"/>
          <w:szCs w:val="24"/>
        </w:rPr>
        <w:t>The</w:t>
      </w:r>
      <w:proofErr w:type="gramEnd"/>
      <w:r w:rsidRPr="001D5F55">
        <w:rPr>
          <w:i/>
          <w:sz w:val="24"/>
          <w:szCs w:val="24"/>
        </w:rPr>
        <w:t xml:space="preserve"> path to quality teaching in higher education.</w:t>
      </w:r>
      <w:r w:rsidRPr="001D5F55">
        <w:rPr>
          <w:sz w:val="24"/>
          <w:szCs w:val="24"/>
        </w:rPr>
        <w:t xml:space="preserve"> </w:t>
      </w:r>
      <w:hyperlink r:id="rId15" w:history="1">
        <w:r w:rsidRPr="001D5F55">
          <w:rPr>
            <w:rStyle w:val="Hyperlink"/>
            <w:sz w:val="24"/>
            <w:szCs w:val="24"/>
          </w:rPr>
          <w:t>http://www.oecd.org/edu</w:t>
        </w:r>
        <w:r w:rsidRPr="001D5F55">
          <w:rPr>
            <w:rStyle w:val="Hyperlink"/>
            <w:sz w:val="24"/>
            <w:szCs w:val="24"/>
          </w:rPr>
          <w:t>/</w:t>
        </w:r>
        <w:r w:rsidRPr="001D5F55">
          <w:rPr>
            <w:rStyle w:val="Hyperlink"/>
            <w:sz w:val="24"/>
            <w:szCs w:val="24"/>
          </w:rPr>
          <w:t>imhe/44150246.pdf</w:t>
        </w:r>
      </w:hyperlink>
    </w:p>
    <w:p w:rsidR="001D5F55" w:rsidRPr="001D5F55" w:rsidRDefault="001D5F55" w:rsidP="00E62DA3">
      <w:pPr>
        <w:pStyle w:val="Bullet"/>
        <w:spacing w:before="120" w:line="276" w:lineRule="auto"/>
        <w:ind w:left="0"/>
        <w:contextualSpacing w:val="0"/>
        <w:rPr>
          <w:rStyle w:val="Hyperlink"/>
          <w:sz w:val="24"/>
          <w:szCs w:val="24"/>
        </w:rPr>
      </w:pPr>
      <w:r w:rsidRPr="001D5F55">
        <w:rPr>
          <w:sz w:val="24"/>
          <w:szCs w:val="24"/>
          <w:lang/>
        </w:rPr>
        <w:t xml:space="preserve">OECD, (2010) </w:t>
      </w:r>
      <w:r w:rsidRPr="001D5F55">
        <w:rPr>
          <w:i/>
          <w:sz w:val="24"/>
          <w:szCs w:val="24"/>
          <w:lang/>
        </w:rPr>
        <w:t>Review of quality teaching in higher education. An overview of institutional policies and initiatives aimed at enhancing the quality of teaching (phase 1).</w:t>
      </w:r>
      <w:r w:rsidRPr="001D5F55">
        <w:rPr>
          <w:sz w:val="24"/>
          <w:szCs w:val="24"/>
          <w:lang/>
        </w:rPr>
        <w:t xml:space="preserve"> </w:t>
      </w:r>
      <w:hyperlink r:id="rId16" w:history="1">
        <w:r w:rsidRPr="001D5F55">
          <w:rPr>
            <w:rStyle w:val="Hyperlink"/>
            <w:sz w:val="24"/>
            <w:szCs w:val="24"/>
            <w:lang/>
          </w:rPr>
          <w:t>http://www.oecd.org/</w:t>
        </w:r>
        <w:r w:rsidRPr="001D5F55">
          <w:rPr>
            <w:rStyle w:val="Hyperlink"/>
            <w:sz w:val="24"/>
            <w:szCs w:val="24"/>
            <w:lang/>
          </w:rPr>
          <w:t>e</w:t>
        </w:r>
        <w:r w:rsidRPr="001D5F55">
          <w:rPr>
            <w:rStyle w:val="Hyperlink"/>
            <w:sz w:val="24"/>
            <w:szCs w:val="24"/>
            <w:lang/>
          </w:rPr>
          <w:t>du/imhe/44058352.pdf</w:t>
        </w:r>
      </w:hyperlink>
      <w:r w:rsidRPr="001D5F55">
        <w:rPr>
          <w:sz w:val="24"/>
          <w:szCs w:val="24"/>
          <w:lang/>
        </w:rPr>
        <w:t xml:space="preserve"> </w:t>
      </w:r>
    </w:p>
    <w:p w:rsidR="001D5F55" w:rsidRPr="001D5F55" w:rsidRDefault="001D5F55" w:rsidP="00E62DA3">
      <w:pPr>
        <w:pStyle w:val="HEABulletPoints"/>
        <w:numPr>
          <w:ilvl w:val="0"/>
          <w:numId w:val="0"/>
        </w:numPr>
        <w:spacing w:before="120" w:after="240" w:line="276" w:lineRule="auto"/>
        <w:contextualSpacing w:val="0"/>
        <w:rPr>
          <w:rFonts w:ascii="Arial" w:hAnsi="Arial" w:cs="Arial"/>
          <w:sz w:val="24"/>
        </w:rPr>
      </w:pPr>
      <w:r w:rsidRPr="001D5F55">
        <w:rPr>
          <w:rFonts w:ascii="Arial" w:hAnsi="Arial" w:cs="Arial"/>
          <w:sz w:val="24"/>
        </w:rPr>
        <w:t xml:space="preserve">Oxford Brookes University, Peer Enhancement of Teaching, Assessment and Learning, </w:t>
      </w:r>
      <w:hyperlink r:id="rId17" w:history="1">
        <w:r w:rsidRPr="0078360F">
          <w:rPr>
            <w:rStyle w:val="Hyperlink"/>
            <w:rFonts w:ascii="Arial" w:hAnsi="Arial" w:cs="Arial"/>
            <w:sz w:val="24"/>
          </w:rPr>
          <w:t>https://sites.google.c</w:t>
        </w:r>
        <w:r w:rsidRPr="0078360F">
          <w:rPr>
            <w:rStyle w:val="Hyperlink"/>
            <w:rFonts w:ascii="Arial" w:hAnsi="Arial" w:cs="Arial"/>
            <w:sz w:val="24"/>
          </w:rPr>
          <w:t>o</w:t>
        </w:r>
        <w:r w:rsidRPr="0078360F">
          <w:rPr>
            <w:rStyle w:val="Hyperlink"/>
            <w:rFonts w:ascii="Arial" w:hAnsi="Arial" w:cs="Arial"/>
            <w:sz w:val="24"/>
          </w:rPr>
          <w:t>m/a/brookes.ac.uk/petal/</w:t>
        </w:r>
      </w:hyperlink>
      <w:r>
        <w:rPr>
          <w:rFonts w:ascii="Arial" w:hAnsi="Arial" w:cs="Arial"/>
          <w:sz w:val="24"/>
        </w:rPr>
        <w:t xml:space="preserve"> </w:t>
      </w:r>
      <w:r w:rsidRPr="001D5F55">
        <w:rPr>
          <w:rFonts w:ascii="Arial" w:hAnsi="Arial" w:cs="Arial"/>
          <w:sz w:val="24"/>
        </w:rPr>
        <w:t xml:space="preserve">  </w:t>
      </w:r>
    </w:p>
    <w:p w:rsidR="00AE5937" w:rsidRPr="00842A43" w:rsidRDefault="004B4AF8" w:rsidP="00E62DA3">
      <w:pPr>
        <w:spacing w:before="120" w:after="240" w:line="276" w:lineRule="auto"/>
        <w:rPr>
          <w:rFonts w:ascii="Arial" w:hAnsi="Arial" w:cs="Arial"/>
        </w:rPr>
      </w:pPr>
      <w:proofErr w:type="spellStart"/>
      <w:r w:rsidRPr="004B4AF8">
        <w:rPr>
          <w:rFonts w:ascii="Arial" w:hAnsi="Arial" w:cs="Arial"/>
          <w:sz w:val="24"/>
          <w:szCs w:val="24"/>
        </w:rPr>
        <w:t>Ramsden</w:t>
      </w:r>
      <w:proofErr w:type="spellEnd"/>
      <w:r w:rsidRPr="004B4AF8">
        <w:rPr>
          <w:rFonts w:ascii="Arial" w:hAnsi="Arial" w:cs="Arial"/>
          <w:sz w:val="24"/>
          <w:szCs w:val="24"/>
        </w:rPr>
        <w:t xml:space="preserve">, P. (2008) </w:t>
      </w:r>
      <w:proofErr w:type="gramStart"/>
      <w:r w:rsidRPr="004B4AF8">
        <w:rPr>
          <w:rFonts w:ascii="Arial" w:hAnsi="Arial" w:cs="Arial"/>
          <w:sz w:val="24"/>
          <w:szCs w:val="24"/>
        </w:rPr>
        <w:t>The</w:t>
      </w:r>
      <w:proofErr w:type="gramEnd"/>
      <w:r w:rsidRPr="004B4AF8">
        <w:rPr>
          <w:rFonts w:ascii="Arial" w:hAnsi="Arial" w:cs="Arial"/>
          <w:sz w:val="24"/>
          <w:szCs w:val="24"/>
        </w:rPr>
        <w:t xml:space="preserve"> Future of Higher Education - Teaching and the Student Experience. HEA: York. </w:t>
      </w:r>
      <w:hyperlink r:id="rId18" w:history="1">
        <w:r w:rsidRPr="0078360F">
          <w:rPr>
            <w:rStyle w:val="Hyperlink"/>
            <w:rFonts w:ascii="Arial" w:hAnsi="Arial" w:cs="Arial"/>
            <w:sz w:val="24"/>
            <w:szCs w:val="24"/>
          </w:rPr>
          <w:t>https://www.advance-he.ac.uk/knowledge-hub/future-higher-education-teaching-and-student-experience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AE5937" w:rsidRPr="00842A43" w:rsidSect="00B75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4CC9"/>
    <w:multiLevelType w:val="hybridMultilevel"/>
    <w:tmpl w:val="5C3A861E"/>
    <w:lvl w:ilvl="0" w:tplc="25689248">
      <w:start w:val="1"/>
      <w:numFmt w:val="bullet"/>
      <w:pStyle w:val="HEABulletPoints"/>
      <w:lvlText w:val=""/>
      <w:lvlJc w:val="left"/>
      <w:pPr>
        <w:ind w:left="720" w:hanging="360"/>
      </w:pPr>
      <w:rPr>
        <w:rFonts w:ascii="Symbol" w:hAnsi="Symbol" w:hint="default"/>
        <w:color w:val="FFA1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50358"/>
    <w:multiLevelType w:val="hybridMultilevel"/>
    <w:tmpl w:val="C2DABE88"/>
    <w:lvl w:ilvl="0" w:tplc="D3B6A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1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7B1F"/>
    <w:rsid w:val="001D5F55"/>
    <w:rsid w:val="004B4AF8"/>
    <w:rsid w:val="0055276A"/>
    <w:rsid w:val="00617B1F"/>
    <w:rsid w:val="00682F86"/>
    <w:rsid w:val="007A3C11"/>
    <w:rsid w:val="00842A43"/>
    <w:rsid w:val="008F6747"/>
    <w:rsid w:val="00AE5937"/>
    <w:rsid w:val="00B61373"/>
    <w:rsid w:val="00B751ED"/>
    <w:rsid w:val="00D02595"/>
    <w:rsid w:val="00E6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B1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F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617B1F"/>
    <w:pPr>
      <w:keepNext/>
      <w:spacing w:before="360" w:after="120"/>
      <w:outlineLvl w:val="1"/>
    </w:pPr>
    <w:rPr>
      <w:rFonts w:ascii="Arial" w:hAnsi="Arial" w:cs="Arial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7B1F"/>
    <w:rPr>
      <w:rFonts w:ascii="Arial" w:hAnsi="Arial" w:cs="Arial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17B1F"/>
    <w:rPr>
      <w:color w:val="0000FF"/>
      <w:u w:val="single"/>
    </w:rPr>
  </w:style>
  <w:style w:type="paragraph" w:customStyle="1" w:styleId="Bullet">
    <w:name w:val="Bullet"/>
    <w:basedOn w:val="Normal"/>
    <w:qFormat/>
    <w:rsid w:val="00617B1F"/>
    <w:pPr>
      <w:spacing w:before="240" w:after="240" w:line="264" w:lineRule="auto"/>
      <w:ind w:left="927"/>
      <w:contextualSpacing/>
    </w:pPr>
    <w:rPr>
      <w:rFonts w:ascii="Arial" w:hAnsi="Arial" w:cs="Arial"/>
    </w:rPr>
  </w:style>
  <w:style w:type="paragraph" w:customStyle="1" w:styleId="HEABulletPoints">
    <w:name w:val="HEA Bullet Points"/>
    <w:basedOn w:val="ListParagraph"/>
    <w:link w:val="HEABulletPointsChar"/>
    <w:qFormat/>
    <w:rsid w:val="00617B1F"/>
    <w:pPr>
      <w:numPr>
        <w:numId w:val="2"/>
      </w:numPr>
    </w:pPr>
    <w:rPr>
      <w:rFonts w:ascii="Open Sans" w:hAnsi="Open Sans" w:cstheme="minorBidi"/>
      <w:color w:val="000000" w:themeColor="text1"/>
      <w:szCs w:val="24"/>
    </w:rPr>
  </w:style>
  <w:style w:type="character" w:customStyle="1" w:styleId="HEABulletPointsChar">
    <w:name w:val="HEA Bullet Points Char"/>
    <w:basedOn w:val="DefaultParagraphFont"/>
    <w:link w:val="HEABulletPoints"/>
    <w:rsid w:val="00617B1F"/>
    <w:rPr>
      <w:rFonts w:ascii="Open Sans" w:hAnsi="Open Sans"/>
      <w:color w:val="000000" w:themeColor="text1"/>
      <w:szCs w:val="24"/>
    </w:rPr>
  </w:style>
  <w:style w:type="paragraph" w:styleId="ListParagraph">
    <w:name w:val="List Paragraph"/>
    <w:basedOn w:val="Normal"/>
    <w:uiPriority w:val="34"/>
    <w:qFormat/>
    <w:rsid w:val="00617B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A3C1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2F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B1F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617B1F"/>
    <w:pPr>
      <w:keepNext/>
      <w:spacing w:before="360" w:after="120"/>
      <w:outlineLvl w:val="1"/>
    </w:pPr>
    <w:rPr>
      <w:rFonts w:ascii="Arial" w:hAnsi="Arial" w:cs="Arial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17B1F"/>
    <w:rPr>
      <w:rFonts w:ascii="Arial" w:hAnsi="Arial" w:cs="Arial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17B1F"/>
    <w:rPr>
      <w:color w:val="0000FF"/>
      <w:u w:val="single"/>
    </w:rPr>
  </w:style>
  <w:style w:type="paragraph" w:customStyle="1" w:styleId="Bullet">
    <w:name w:val="Bullet"/>
    <w:basedOn w:val="Normal"/>
    <w:qFormat/>
    <w:rsid w:val="00617B1F"/>
    <w:pPr>
      <w:spacing w:before="240" w:after="240" w:line="264" w:lineRule="auto"/>
      <w:ind w:left="927"/>
      <w:contextualSpacing/>
    </w:pPr>
    <w:rPr>
      <w:rFonts w:ascii="Arial" w:hAnsi="Arial" w:cs="Arial"/>
    </w:rPr>
  </w:style>
  <w:style w:type="paragraph" w:customStyle="1" w:styleId="HEABulletPoints">
    <w:name w:val="HEA Bullet Points"/>
    <w:basedOn w:val="ListParagraph"/>
    <w:link w:val="HEABulletPointsChar"/>
    <w:qFormat/>
    <w:rsid w:val="00617B1F"/>
    <w:pPr>
      <w:numPr>
        <w:numId w:val="2"/>
      </w:numPr>
    </w:pPr>
    <w:rPr>
      <w:rFonts w:ascii="Open Sans" w:hAnsi="Open Sans" w:cstheme="minorBidi"/>
      <w:color w:val="000000" w:themeColor="text1"/>
      <w:szCs w:val="24"/>
    </w:rPr>
  </w:style>
  <w:style w:type="character" w:customStyle="1" w:styleId="HEABulletPointsChar">
    <w:name w:val="HEA Bullet Points Char"/>
    <w:basedOn w:val="DefaultParagraphFont"/>
    <w:link w:val="HEABulletPoints"/>
    <w:rsid w:val="00617B1F"/>
    <w:rPr>
      <w:rFonts w:ascii="Open Sans" w:hAnsi="Open Sans"/>
      <w:color w:val="000000" w:themeColor="text1"/>
      <w:szCs w:val="24"/>
    </w:rPr>
  </w:style>
  <w:style w:type="paragraph" w:styleId="ListParagraph">
    <w:name w:val="List Paragraph"/>
    <w:basedOn w:val="Normal"/>
    <w:uiPriority w:val="34"/>
    <w:qFormat/>
    <w:rsid w:val="00617B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J1URbdisYE" TargetMode="External"/><Relationship Id="rId13" Type="http://schemas.openxmlformats.org/officeDocument/2006/relationships/hyperlink" Target="https://educationaltechnology.net/vygotskys-zone-of-proximal-development-and-scaffolding/" TargetMode="External"/><Relationship Id="rId18" Type="http://schemas.openxmlformats.org/officeDocument/2006/relationships/hyperlink" Target="https://www.advance-he.ac.uk/knowledge-hub/future-higher-education-teaching-and-student-experience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www.researchgate.net/publication/336922413_Teaching_and_learning_in_higher_education_perspectives_from_UCL" TargetMode="External"/><Relationship Id="rId12" Type="http://schemas.openxmlformats.org/officeDocument/2006/relationships/hyperlink" Target="https://educationaltechnology.net/blooms-taxonomy/" TargetMode="External"/><Relationship Id="rId17" Type="http://schemas.openxmlformats.org/officeDocument/2006/relationships/hyperlink" Target="https://sites.google.com/a/brookes.ac.uk/peta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ecd.org/edu/imhe/44058352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ft.vanderbilt.edu/guides-sub-pages/flipping-the-classroom/" TargetMode="External"/><Relationship Id="rId11" Type="http://schemas.openxmlformats.org/officeDocument/2006/relationships/hyperlink" Target="https://dera.ioe.ac.uk/13069/1/gosling.pdf" TargetMode="External"/><Relationship Id="rId5" Type="http://schemas.openxmlformats.org/officeDocument/2006/relationships/hyperlink" Target="https://www.advance-he.ac.uk/knowledge-hub/aligning-teaching-constructing-learning" TargetMode="External"/><Relationship Id="rId15" Type="http://schemas.openxmlformats.org/officeDocument/2006/relationships/hyperlink" Target="http://www.oecd.org/edu/imhe/44150246.pdf" TargetMode="External"/><Relationship Id="rId10" Type="http://schemas.openxmlformats.org/officeDocument/2006/relationships/hyperlink" Target="https://www.engr.ncsu.edu/wp-content/uploads/drive/1L-zl5XFwGXzfYAkNBj7mqsrdiT6bRxk9/2007-Induction(PRISM)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ngr.ncsu.edu/stem-resources/legacy-site/education-related-papers/" TargetMode="External"/><Relationship Id="rId14" Type="http://schemas.openxmlformats.org/officeDocument/2006/relationships/hyperlink" Target="http://www.facultyfocus.com/articles/effective-teaching-strategies/choosing-the-best-approach-for-small-group-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Higher Education Academy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Jane Roberts</cp:lastModifiedBy>
  <cp:revision>3</cp:revision>
  <dcterms:created xsi:type="dcterms:W3CDTF">2020-12-16T14:51:00Z</dcterms:created>
  <dcterms:modified xsi:type="dcterms:W3CDTF">2020-12-16T16:35:00Z</dcterms:modified>
</cp:coreProperties>
</file>