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D501" w14:textId="1FEA65C9" w:rsidR="00A34D87" w:rsidRPr="00355CDC" w:rsidRDefault="00355CDC" w:rsidP="00355CDC">
      <w:pPr>
        <w:jc w:val="center"/>
        <w:rPr>
          <w:rFonts w:ascii="Arial" w:hAnsi="Arial" w:cs="Arial"/>
          <w:sz w:val="22"/>
          <w:szCs w:val="22"/>
        </w:rPr>
      </w:pPr>
      <w:r w:rsidRPr="00355CDC">
        <w:rPr>
          <w:rFonts w:ascii="Arial" w:hAnsi="Arial" w:cs="Arial"/>
          <w:sz w:val="22"/>
          <w:szCs w:val="22"/>
        </w:rPr>
        <w:t>Course 6 Additional Content: A Really Risky Business</w:t>
      </w:r>
    </w:p>
    <w:p w14:paraId="62F2EE71" w14:textId="77777777" w:rsidR="00355CDC" w:rsidRPr="00355CDC" w:rsidRDefault="00355CDC" w:rsidP="00355CDC">
      <w:pPr>
        <w:jc w:val="center"/>
        <w:rPr>
          <w:rFonts w:ascii="Arial" w:hAnsi="Arial" w:cs="Arial"/>
          <w:sz w:val="22"/>
          <w:szCs w:val="22"/>
        </w:rPr>
      </w:pPr>
    </w:p>
    <w:p w14:paraId="68228F6D" w14:textId="1BCA4252" w:rsidR="00355CDC" w:rsidRPr="00355CDC" w:rsidRDefault="00355CDC" w:rsidP="00355CDC">
      <w:pPr>
        <w:spacing w:line="259" w:lineRule="auto"/>
        <w:jc w:val="both"/>
        <w:rPr>
          <w:rFonts w:ascii="Arial" w:hAnsi="Arial" w:cs="Arial"/>
          <w:i/>
          <w:iCs/>
          <w:sz w:val="22"/>
          <w:szCs w:val="22"/>
        </w:rPr>
      </w:pPr>
      <w:r w:rsidRPr="00355CDC">
        <w:rPr>
          <w:rFonts w:ascii="Arial" w:hAnsi="Arial" w:cs="Arial"/>
          <w:i/>
          <w:iCs/>
          <w:sz w:val="22"/>
          <w:szCs w:val="22"/>
        </w:rPr>
        <w:t>IPR Considerations</w:t>
      </w:r>
    </w:p>
    <w:p w14:paraId="10E52B35" w14:textId="77777777" w:rsidR="00355CDC" w:rsidRPr="00355CDC" w:rsidRDefault="00355CDC" w:rsidP="00355CDC">
      <w:pPr>
        <w:rPr>
          <w:rFonts w:ascii="Arial" w:hAnsi="Arial" w:cs="Arial"/>
          <w:sz w:val="22"/>
          <w:szCs w:val="22"/>
        </w:rPr>
      </w:pPr>
      <w:r w:rsidRPr="00355CDC">
        <w:rPr>
          <w:rFonts w:ascii="Arial" w:hAnsi="Arial" w:cs="Arial"/>
          <w:sz w:val="22"/>
          <w:szCs w:val="22"/>
        </w:rPr>
        <w:t>The United Kingdom currently does not have a dedicated AI regulatory framework. Instead, it relies on general IP law—primarily the Copyright, Designs and Patents Act 1988 (CDPA) —to address GenAI-related disputes. However, this legislation is increasingly seen as ill-suited to handle the complexities posed by GenAI. The UK government's 2021 National AI Strategy set out its ambition to become a global leader in AI, but practical implementation has lagged behind (HM Government, 2021)</w:t>
      </w:r>
      <w:r w:rsidRPr="00355CDC">
        <w:rPr>
          <w:rStyle w:val="FootnoteReference"/>
          <w:rFonts w:ascii="Arial" w:hAnsi="Arial" w:cs="Arial"/>
          <w:sz w:val="22"/>
          <w:szCs w:val="22"/>
        </w:rPr>
        <w:footnoteReference w:id="1"/>
      </w:r>
      <w:r w:rsidRPr="00355CDC">
        <w:rPr>
          <w:rFonts w:ascii="Arial" w:hAnsi="Arial" w:cs="Arial"/>
          <w:sz w:val="22"/>
          <w:szCs w:val="22"/>
        </w:rPr>
        <w:t>. Following the collapse of a voluntary Code of Practice in February 2024 due to irreconcilable differences between the creative industries and AI developers, the government launched a public consultation in December 2024 to explore reforms to copyright law in the context of AI. The consultation closed in February 2025 with over 13,000 responses, and the policy outcome is currently awaited (Wood, 2025).</w:t>
      </w:r>
      <w:r w:rsidRPr="00355CDC">
        <w:rPr>
          <w:rFonts w:ascii="Arial" w:hAnsi="Arial" w:cs="Arial"/>
          <w:sz w:val="22"/>
          <w:szCs w:val="22"/>
          <w:vertAlign w:val="superscript"/>
        </w:rPr>
        <w:footnoteReference w:id="2"/>
      </w:r>
    </w:p>
    <w:p w14:paraId="3D893544" w14:textId="77777777" w:rsidR="00355CDC" w:rsidRPr="00355CDC" w:rsidRDefault="00355CDC" w:rsidP="00355CDC">
      <w:pPr>
        <w:rPr>
          <w:rFonts w:ascii="Arial" w:hAnsi="Arial" w:cs="Arial"/>
          <w:sz w:val="22"/>
          <w:szCs w:val="22"/>
        </w:rPr>
      </w:pPr>
    </w:p>
    <w:p w14:paraId="42B7453A" w14:textId="77777777" w:rsidR="00355CDC" w:rsidRPr="00355CDC" w:rsidRDefault="00355CDC" w:rsidP="00355CDC">
      <w:pPr>
        <w:spacing w:line="259" w:lineRule="auto"/>
        <w:jc w:val="both"/>
        <w:rPr>
          <w:rFonts w:ascii="Arial" w:hAnsi="Arial" w:cs="Arial"/>
          <w:sz w:val="22"/>
          <w:szCs w:val="22"/>
        </w:rPr>
      </w:pPr>
      <w:r w:rsidRPr="00355CDC">
        <w:rPr>
          <w:rFonts w:ascii="Arial" w:hAnsi="Arial" w:cs="Arial"/>
          <w:sz w:val="22"/>
          <w:szCs w:val="22"/>
        </w:rPr>
        <w:t>A key legal risk with GenAI tools is that training datasets often contain copyright-protected material such as literary works, images, music, and software, which are used without the consent of rights holders. Under section 17(2) of the CDPA, reproducing any substantial part of a protected work without permission constitutes copyright infringement. This includes scraping online content to train GenAI models, as alleged in the high-profile litigation of Getty Images v Stability AI. In addition to input-stage risks, GenAI outputs may also infringe copyright if they reproduce recognisable elements of the training data (CDPA 1988, s. 16–17).</w:t>
      </w:r>
    </w:p>
    <w:p w14:paraId="17D47C53" w14:textId="77777777" w:rsidR="00355CDC" w:rsidRPr="00355CDC" w:rsidRDefault="00355CDC" w:rsidP="00355CDC">
      <w:pPr>
        <w:spacing w:line="259" w:lineRule="auto"/>
        <w:jc w:val="both"/>
        <w:rPr>
          <w:rFonts w:ascii="Arial" w:hAnsi="Arial" w:cs="Arial"/>
          <w:sz w:val="22"/>
          <w:szCs w:val="22"/>
        </w:rPr>
      </w:pPr>
    </w:p>
    <w:p w14:paraId="0BE7AC06" w14:textId="77777777" w:rsidR="00355CDC" w:rsidRPr="00355CDC" w:rsidRDefault="00355CDC" w:rsidP="00355CDC">
      <w:pPr>
        <w:spacing w:line="259" w:lineRule="auto"/>
        <w:jc w:val="both"/>
        <w:rPr>
          <w:rFonts w:ascii="Arial" w:hAnsi="Arial" w:cs="Arial"/>
          <w:sz w:val="22"/>
          <w:szCs w:val="22"/>
        </w:rPr>
      </w:pPr>
      <w:r w:rsidRPr="00355CDC">
        <w:rPr>
          <w:rFonts w:ascii="Arial" w:hAnsi="Arial" w:cs="Arial"/>
          <w:sz w:val="22"/>
          <w:szCs w:val="22"/>
        </w:rPr>
        <w:t xml:space="preserve">UK copyright law does attempt to address computer-generated works (CGWs) through section 9(3) of the CDPA, which assigns authorship to </w:t>
      </w:r>
      <w:r w:rsidRPr="00355CDC">
        <w:rPr>
          <w:rFonts w:ascii="Arial" w:hAnsi="Arial" w:cs="Arial"/>
          <w:i/>
          <w:iCs/>
          <w:sz w:val="22"/>
          <w:szCs w:val="22"/>
        </w:rPr>
        <w:t>“the person by whom the arrangements necessary for the creation of the work are undertaken.”</w:t>
      </w:r>
      <w:r w:rsidRPr="00355CDC">
        <w:rPr>
          <w:rFonts w:ascii="Arial" w:hAnsi="Arial" w:cs="Arial"/>
          <w:sz w:val="22"/>
          <w:szCs w:val="22"/>
        </w:rPr>
        <w:t xml:space="preserve"> However, determining authorship in GenAI contexts—whether it is the programmer, the user issuing prompts, or the model creator—remains complex. In addition, copyright only subsists if the work is original. The UK courts appear to be leaning towards the European </w:t>
      </w:r>
      <w:r w:rsidRPr="00355CDC">
        <w:rPr>
          <w:rFonts w:ascii="Arial" w:hAnsi="Arial" w:cs="Arial"/>
          <w:i/>
          <w:iCs/>
          <w:sz w:val="22"/>
          <w:szCs w:val="22"/>
        </w:rPr>
        <w:t>“intellectual creation”</w:t>
      </w:r>
      <w:r w:rsidRPr="00355CDC">
        <w:rPr>
          <w:rFonts w:ascii="Arial" w:hAnsi="Arial" w:cs="Arial"/>
          <w:sz w:val="22"/>
          <w:szCs w:val="22"/>
        </w:rPr>
        <w:t xml:space="preserve"> test set out in Infopaq International A/S v Danske Dagblades Forening (C-5/08), rather than the earlier UK test of skill, labour and judgment (THJ Systems Ltd v Sheridan [2023] EWHC 912 (IPEC)). If a GenAI model merely recombines existing works, there is a risk that the output will lack sufficient originality for protection.</w:t>
      </w:r>
    </w:p>
    <w:p w14:paraId="46EE4FC4" w14:textId="77777777" w:rsidR="00355CDC" w:rsidRPr="00355CDC" w:rsidRDefault="00355CDC" w:rsidP="00355CDC">
      <w:pPr>
        <w:spacing w:line="259" w:lineRule="auto"/>
        <w:jc w:val="both"/>
        <w:rPr>
          <w:rFonts w:ascii="Arial" w:hAnsi="Arial" w:cs="Arial"/>
          <w:sz w:val="22"/>
          <w:szCs w:val="22"/>
        </w:rPr>
      </w:pPr>
    </w:p>
    <w:p w14:paraId="51BF0F83" w14:textId="77777777" w:rsidR="00355CDC" w:rsidRPr="00355CDC" w:rsidRDefault="00355CDC" w:rsidP="00355CDC">
      <w:pPr>
        <w:spacing w:line="259" w:lineRule="auto"/>
        <w:jc w:val="both"/>
        <w:rPr>
          <w:rFonts w:ascii="Arial" w:hAnsi="Arial" w:cs="Arial"/>
          <w:sz w:val="22"/>
          <w:szCs w:val="22"/>
        </w:rPr>
      </w:pPr>
      <w:r w:rsidRPr="00355CDC">
        <w:rPr>
          <w:rFonts w:ascii="Arial" w:hAnsi="Arial" w:cs="Arial"/>
          <w:sz w:val="22"/>
          <w:szCs w:val="22"/>
        </w:rPr>
        <w:t>Notably, the UK Government conducted a consultation in October 2021 to assess whether the current protection for CGWs is appropriate. Most respondents favoured maintaining the status quo, citing insufficient evidence that such protection has a significant impact. Consequently, the Government decided to retain the existing legal framework but will keep it under review as AI technology evolves.</w:t>
      </w:r>
      <w:r w:rsidRPr="00355CDC">
        <w:rPr>
          <w:rFonts w:ascii="Arial" w:hAnsi="Arial" w:cs="Arial"/>
          <w:sz w:val="22"/>
          <w:szCs w:val="22"/>
          <w:vertAlign w:val="superscript"/>
        </w:rPr>
        <w:footnoteReference w:id="3"/>
      </w:r>
    </w:p>
    <w:p w14:paraId="4F1F411E" w14:textId="77777777" w:rsidR="00355CDC" w:rsidRPr="00355CDC" w:rsidRDefault="00355CDC" w:rsidP="00355CDC">
      <w:pPr>
        <w:spacing w:line="259" w:lineRule="auto"/>
        <w:jc w:val="both"/>
        <w:rPr>
          <w:rFonts w:ascii="Arial" w:hAnsi="Arial" w:cs="Arial"/>
          <w:sz w:val="22"/>
          <w:szCs w:val="22"/>
        </w:rPr>
      </w:pPr>
    </w:p>
    <w:p w14:paraId="29C2EA4F" w14:textId="77777777" w:rsidR="00355CDC" w:rsidRPr="00355CDC" w:rsidRDefault="00355CDC" w:rsidP="00355CDC">
      <w:pPr>
        <w:spacing w:line="259" w:lineRule="auto"/>
        <w:jc w:val="both"/>
        <w:rPr>
          <w:rFonts w:ascii="Arial" w:hAnsi="Arial" w:cs="Arial"/>
          <w:sz w:val="22"/>
          <w:szCs w:val="22"/>
        </w:rPr>
      </w:pPr>
      <w:r w:rsidRPr="00355CDC">
        <w:rPr>
          <w:rFonts w:ascii="Arial" w:hAnsi="Arial" w:cs="Arial"/>
          <w:sz w:val="22"/>
          <w:szCs w:val="22"/>
        </w:rPr>
        <w:t xml:space="preserve">The only current UK exception permitting text and data mining is found in section 29A CDPA, which allows copies for non-commercial research purposes. This is significantly narrower than the EU position, which allows TDM for commercial uses with a right of reservation. The UK government's 2024 consultation proposed a broader TDM exception backed by transparency obligations and opt-out mechanisms for rights holders. </w:t>
      </w:r>
      <w:r w:rsidRPr="00355CDC">
        <w:rPr>
          <w:rStyle w:val="FootnoteReference"/>
          <w:rFonts w:ascii="Arial" w:hAnsi="Arial" w:cs="Arial"/>
          <w:sz w:val="22"/>
          <w:szCs w:val="22"/>
        </w:rPr>
        <w:footnoteReference w:id="4"/>
      </w:r>
    </w:p>
    <w:p w14:paraId="35F8DABA" w14:textId="77777777" w:rsidR="00355CDC" w:rsidRPr="00355CDC" w:rsidRDefault="00355CDC" w:rsidP="00355CDC">
      <w:pPr>
        <w:spacing w:line="259" w:lineRule="auto"/>
        <w:jc w:val="both"/>
        <w:rPr>
          <w:rFonts w:ascii="Arial" w:hAnsi="Arial" w:cs="Arial"/>
          <w:sz w:val="22"/>
          <w:szCs w:val="22"/>
        </w:rPr>
      </w:pPr>
    </w:p>
    <w:p w14:paraId="35A3AABF" w14:textId="77777777" w:rsidR="00355CDC" w:rsidRDefault="00355CDC" w:rsidP="00355CDC">
      <w:pPr>
        <w:spacing w:line="259" w:lineRule="auto"/>
        <w:jc w:val="both"/>
        <w:rPr>
          <w:rFonts w:ascii="Arial" w:hAnsi="Arial" w:cs="Arial"/>
          <w:sz w:val="22"/>
          <w:szCs w:val="22"/>
        </w:rPr>
      </w:pPr>
      <w:r w:rsidRPr="00355CDC">
        <w:rPr>
          <w:rFonts w:ascii="Arial" w:hAnsi="Arial" w:cs="Arial"/>
          <w:sz w:val="22"/>
          <w:szCs w:val="22"/>
        </w:rPr>
        <w:t>However, the creative industries—particularly those in publishing, music, and visual media—have raised strong objections. They argue that, without practical technical mechanisms to facilitate and enforce opt-outs, such a system would be ineffective and unfair in practice (Lewis Silkin, 2024)</w:t>
      </w:r>
      <w:r w:rsidRPr="00355CDC">
        <w:rPr>
          <w:rStyle w:val="FootnoteReference"/>
          <w:rFonts w:ascii="Arial" w:hAnsi="Arial" w:cs="Arial"/>
          <w:sz w:val="22"/>
          <w:szCs w:val="22"/>
        </w:rPr>
        <w:footnoteReference w:id="5"/>
      </w:r>
      <w:r w:rsidRPr="00355CDC">
        <w:rPr>
          <w:rFonts w:ascii="Arial" w:hAnsi="Arial" w:cs="Arial"/>
          <w:sz w:val="22"/>
          <w:szCs w:val="22"/>
        </w:rPr>
        <w:t>. The creative sector contends that it is unrealistic to expect rights holders to monitor widespread TDM activity or to ensure their works are not used without consent.</w:t>
      </w:r>
      <w:r w:rsidRPr="00355CDC">
        <w:rPr>
          <w:rStyle w:val="FootnoteReference"/>
          <w:rFonts w:ascii="Arial" w:hAnsi="Arial" w:cs="Arial"/>
          <w:sz w:val="22"/>
          <w:szCs w:val="22"/>
        </w:rPr>
        <w:footnoteReference w:id="6"/>
      </w:r>
      <w:r w:rsidRPr="00355CDC">
        <w:rPr>
          <w:rFonts w:ascii="Arial" w:hAnsi="Arial" w:cs="Arial"/>
          <w:sz w:val="22"/>
          <w:szCs w:val="22"/>
        </w:rPr>
        <w:t xml:space="preserve"> Moreover, concerns remain that the transparency obligations, as currently proposed, may lack the granularity and enforceability necessary to provide genuine accountability. </w:t>
      </w:r>
    </w:p>
    <w:p w14:paraId="3CAE05A4" w14:textId="77777777" w:rsidR="00355CDC" w:rsidRPr="00355CDC" w:rsidRDefault="00355CDC" w:rsidP="00355CDC">
      <w:pPr>
        <w:spacing w:line="259" w:lineRule="auto"/>
        <w:jc w:val="both"/>
        <w:rPr>
          <w:rFonts w:ascii="Arial" w:hAnsi="Arial" w:cs="Arial"/>
          <w:sz w:val="22"/>
          <w:szCs w:val="22"/>
        </w:rPr>
      </w:pPr>
    </w:p>
    <w:p w14:paraId="62DA3741" w14:textId="77777777" w:rsidR="00355CDC" w:rsidRPr="00355CDC" w:rsidRDefault="00355CDC" w:rsidP="00355CDC">
      <w:pPr>
        <w:spacing w:line="259" w:lineRule="auto"/>
        <w:jc w:val="both"/>
        <w:rPr>
          <w:rFonts w:ascii="Arial" w:hAnsi="Arial" w:cs="Arial"/>
          <w:sz w:val="22"/>
          <w:szCs w:val="22"/>
        </w:rPr>
      </w:pPr>
      <w:r w:rsidRPr="00355CDC">
        <w:rPr>
          <w:rFonts w:ascii="Arial" w:hAnsi="Arial" w:cs="Arial"/>
          <w:sz w:val="22"/>
          <w:szCs w:val="22"/>
        </w:rPr>
        <w:t>Following the consultation, the Government announced plans to introduce a new, broader exception to copyright and database rights, permitting TDM for any purpose, provided the user has lawful access to the material. Rights holders will not be able to opt out of this exception but can implement measures to ensure the integrity and security of their systems.</w:t>
      </w:r>
      <w:r w:rsidRPr="00355CDC">
        <w:rPr>
          <w:rStyle w:val="FootnoteReference"/>
          <w:rFonts w:ascii="Arial" w:hAnsi="Arial" w:cs="Arial"/>
          <w:sz w:val="22"/>
          <w:szCs w:val="22"/>
        </w:rPr>
        <w:footnoteReference w:id="7"/>
      </w:r>
      <w:r w:rsidRPr="00355CDC">
        <w:rPr>
          <w:rFonts w:ascii="Arial" w:hAnsi="Arial" w:cs="Arial"/>
          <w:sz w:val="22"/>
          <w:szCs w:val="22"/>
        </w:rPr>
        <w:t xml:space="preserve"> This change aims to support AI innovation and research by facilitating easier access to data for training AI models. </w:t>
      </w:r>
    </w:p>
    <w:p w14:paraId="44BB60EB" w14:textId="77777777" w:rsidR="00355CDC" w:rsidRPr="00355CDC" w:rsidRDefault="00355CDC" w:rsidP="00355CDC">
      <w:pPr>
        <w:spacing w:line="259" w:lineRule="auto"/>
        <w:jc w:val="both"/>
        <w:rPr>
          <w:rFonts w:ascii="Arial" w:hAnsi="Arial" w:cs="Arial"/>
          <w:sz w:val="22"/>
          <w:szCs w:val="22"/>
        </w:rPr>
      </w:pPr>
    </w:p>
    <w:p w14:paraId="46EDFEDC" w14:textId="77777777" w:rsidR="00355CDC" w:rsidRPr="00355CDC" w:rsidRDefault="00355CDC" w:rsidP="00355CDC">
      <w:pPr>
        <w:spacing w:line="259" w:lineRule="auto"/>
        <w:jc w:val="both"/>
        <w:rPr>
          <w:rFonts w:ascii="Arial" w:hAnsi="Arial" w:cs="Arial"/>
          <w:i/>
          <w:iCs/>
          <w:sz w:val="22"/>
          <w:szCs w:val="22"/>
        </w:rPr>
      </w:pPr>
    </w:p>
    <w:p w14:paraId="68869898" w14:textId="581208F2" w:rsidR="00355CDC" w:rsidRPr="00355CDC" w:rsidRDefault="00355CDC" w:rsidP="00355CDC">
      <w:pPr>
        <w:spacing w:line="259" w:lineRule="auto"/>
        <w:jc w:val="both"/>
        <w:rPr>
          <w:rFonts w:ascii="Arial" w:hAnsi="Arial" w:cs="Arial"/>
          <w:i/>
          <w:iCs/>
          <w:sz w:val="22"/>
          <w:szCs w:val="22"/>
        </w:rPr>
      </w:pPr>
      <w:r w:rsidRPr="00355CDC">
        <w:rPr>
          <w:rFonts w:ascii="Arial" w:hAnsi="Arial" w:cs="Arial"/>
          <w:i/>
          <w:iCs/>
          <w:sz w:val="22"/>
          <w:szCs w:val="22"/>
        </w:rPr>
        <w:t>Litigation considerations for Intellectual Property</w:t>
      </w:r>
    </w:p>
    <w:p w14:paraId="0E98F336" w14:textId="77777777" w:rsidR="00355CDC" w:rsidRDefault="00355CDC" w:rsidP="00355CDC">
      <w:pPr>
        <w:spacing w:line="259" w:lineRule="auto"/>
        <w:jc w:val="both"/>
        <w:rPr>
          <w:rFonts w:ascii="Arial" w:hAnsi="Arial" w:cs="Arial"/>
          <w:sz w:val="22"/>
          <w:szCs w:val="22"/>
        </w:rPr>
      </w:pPr>
      <w:r w:rsidRPr="00355CDC">
        <w:rPr>
          <w:rFonts w:ascii="Arial" w:hAnsi="Arial" w:cs="Arial"/>
          <w:sz w:val="22"/>
          <w:szCs w:val="22"/>
        </w:rPr>
        <w:t>Litigation in this area is increasing. In the UK, the High Court recently dismissed Stability AI’s application for summary judgment in the Getty case, confirming that the claims raise novel issues and should proceed to trial. The Court found that there were reasonable grounds for believing that evidence relating to UK-based downloading of training data could be revealed through disclosure.</w:t>
      </w:r>
      <w:r w:rsidRPr="00355CDC">
        <w:rPr>
          <w:rStyle w:val="FootnoteReference"/>
          <w:rFonts w:ascii="Arial" w:hAnsi="Arial" w:cs="Arial"/>
          <w:sz w:val="22"/>
          <w:szCs w:val="22"/>
        </w:rPr>
        <w:footnoteReference w:id="8"/>
      </w:r>
    </w:p>
    <w:p w14:paraId="01316D08" w14:textId="77777777" w:rsidR="00355CDC" w:rsidRPr="00355CDC" w:rsidRDefault="00355CDC" w:rsidP="00355CDC">
      <w:pPr>
        <w:spacing w:line="259" w:lineRule="auto"/>
        <w:jc w:val="both"/>
        <w:rPr>
          <w:rFonts w:ascii="Arial" w:hAnsi="Arial" w:cs="Arial"/>
          <w:sz w:val="22"/>
          <w:szCs w:val="22"/>
        </w:rPr>
      </w:pPr>
    </w:p>
    <w:p w14:paraId="1CB718FD" w14:textId="77777777" w:rsidR="00355CDC" w:rsidRPr="00355CDC" w:rsidRDefault="00355CDC" w:rsidP="00355CDC">
      <w:pPr>
        <w:spacing w:line="259" w:lineRule="auto"/>
        <w:jc w:val="both"/>
        <w:rPr>
          <w:rFonts w:ascii="Arial" w:hAnsi="Arial" w:cs="Arial"/>
          <w:sz w:val="22"/>
          <w:szCs w:val="22"/>
        </w:rPr>
      </w:pPr>
      <w:r w:rsidRPr="00355CDC">
        <w:rPr>
          <w:rFonts w:ascii="Arial" w:hAnsi="Arial" w:cs="Arial"/>
          <w:sz w:val="22"/>
          <w:szCs w:val="22"/>
        </w:rPr>
        <w:t>GenAI developers frequently lack clarity on whether or how the data used in training is licensed. Many rightsholders have no knowledge that their works are being used, and without transparency requirements, enforcement is difficult. The current consultation has proposed transparency obligations compelling AI developers to disclose what works are used in training datasets. The proposal also explores whether licences can be more easily granted or tracked through registries or automated systems, though these remain at an early conceptual stage (DCMS, 2024)</w:t>
      </w:r>
      <w:r w:rsidRPr="00355CDC">
        <w:rPr>
          <w:rStyle w:val="FootnoteReference"/>
          <w:rFonts w:ascii="Arial" w:hAnsi="Arial" w:cs="Arial"/>
          <w:sz w:val="22"/>
          <w:szCs w:val="22"/>
        </w:rPr>
        <w:footnoteReference w:id="9"/>
      </w:r>
      <w:r w:rsidRPr="00355CDC">
        <w:rPr>
          <w:rFonts w:ascii="Arial" w:hAnsi="Arial" w:cs="Arial"/>
          <w:sz w:val="22"/>
          <w:szCs w:val="22"/>
        </w:rPr>
        <w:t>.</w:t>
      </w:r>
    </w:p>
    <w:p w14:paraId="3746687E" w14:textId="77777777" w:rsidR="00355CDC" w:rsidRDefault="00355CDC" w:rsidP="00355CDC">
      <w:pPr>
        <w:spacing w:line="259" w:lineRule="auto"/>
        <w:jc w:val="both"/>
        <w:rPr>
          <w:rFonts w:ascii="Arial" w:hAnsi="Arial" w:cs="Arial"/>
          <w:sz w:val="22"/>
          <w:szCs w:val="22"/>
        </w:rPr>
      </w:pPr>
      <w:r w:rsidRPr="00355CDC">
        <w:rPr>
          <w:rFonts w:ascii="Arial" w:hAnsi="Arial" w:cs="Arial"/>
          <w:sz w:val="22"/>
          <w:szCs w:val="22"/>
        </w:rPr>
        <w:t>In addition to primary infringement, there are risks of secondary infringement under sections 22 to 23 of the CDPA. These include knowingly importing, distributing, or making available infringing works during business. In the Getty litigation, the Court will examine whether “articles” under the CDPA include intangible items such as downloaded files—a key point in the secondary infringement claim.</w:t>
      </w:r>
      <w:r w:rsidRPr="00355CDC">
        <w:rPr>
          <w:rStyle w:val="FootnoteReference"/>
          <w:rFonts w:ascii="Arial" w:hAnsi="Arial" w:cs="Arial"/>
          <w:sz w:val="22"/>
          <w:szCs w:val="22"/>
        </w:rPr>
        <w:footnoteReference w:id="10"/>
      </w:r>
      <w:r w:rsidRPr="00355CDC">
        <w:rPr>
          <w:rFonts w:ascii="Arial" w:hAnsi="Arial" w:cs="Arial"/>
          <w:sz w:val="22"/>
          <w:szCs w:val="22"/>
        </w:rPr>
        <w:t xml:space="preserve"> Since copyright is territorial, determining where infringement occurs can be legally complex in the GenAI context, particularly where training or output activities occur online and across borders. In Getty, the High Court is expected to </w:t>
      </w:r>
      <w:r w:rsidRPr="00355CDC">
        <w:rPr>
          <w:rFonts w:ascii="Arial" w:hAnsi="Arial" w:cs="Arial"/>
          <w:sz w:val="22"/>
          <w:szCs w:val="22"/>
        </w:rPr>
        <w:lastRenderedPageBreak/>
        <w:t>consider whether UK jurisdiction applies even where the AI model was trained abroad, but the effects were consequently within the UK.</w:t>
      </w:r>
      <w:r w:rsidRPr="00355CDC">
        <w:rPr>
          <w:rStyle w:val="FootnoteReference"/>
          <w:rFonts w:ascii="Arial" w:hAnsi="Arial" w:cs="Arial"/>
          <w:sz w:val="22"/>
          <w:szCs w:val="22"/>
        </w:rPr>
        <w:footnoteReference w:id="11"/>
      </w:r>
    </w:p>
    <w:p w14:paraId="3F426900" w14:textId="77777777" w:rsidR="00355CDC" w:rsidRPr="00355CDC" w:rsidRDefault="00355CDC" w:rsidP="00355CDC">
      <w:pPr>
        <w:spacing w:line="259" w:lineRule="auto"/>
        <w:jc w:val="both"/>
        <w:rPr>
          <w:rFonts w:ascii="Arial" w:hAnsi="Arial" w:cs="Arial"/>
          <w:sz w:val="22"/>
          <w:szCs w:val="22"/>
        </w:rPr>
      </w:pPr>
    </w:p>
    <w:p w14:paraId="232387A9" w14:textId="77777777" w:rsidR="00355CDC" w:rsidRPr="00355CDC" w:rsidRDefault="00355CDC" w:rsidP="00355CDC">
      <w:pPr>
        <w:spacing w:line="259" w:lineRule="auto"/>
        <w:jc w:val="both"/>
        <w:rPr>
          <w:rFonts w:ascii="Arial" w:hAnsi="Arial" w:cs="Arial"/>
          <w:sz w:val="22"/>
          <w:szCs w:val="22"/>
        </w:rPr>
      </w:pPr>
      <w:r w:rsidRPr="00355CDC">
        <w:rPr>
          <w:rFonts w:ascii="Arial" w:hAnsi="Arial" w:cs="Arial"/>
          <w:sz w:val="22"/>
          <w:szCs w:val="22"/>
        </w:rPr>
        <w:t>UK law recognises moral rights under sections 77–84 CDPA, including the right to be identified as author and to object to derogatory treatment. These rights do not apply to computer-generated works, but disputes may still arise where AI outputs are misattributed to human creators or impersonate existing authors. This is especially relevant where deepfakes or synthetic content could damage reputation or imply endorsement.</w:t>
      </w:r>
    </w:p>
    <w:p w14:paraId="0BAAAF4F" w14:textId="77777777" w:rsidR="00355CDC" w:rsidRPr="00355CDC" w:rsidRDefault="00355CDC" w:rsidP="00355CDC">
      <w:pPr>
        <w:spacing w:line="259" w:lineRule="auto"/>
        <w:jc w:val="both"/>
        <w:rPr>
          <w:rFonts w:ascii="Arial" w:hAnsi="Arial" w:cs="Arial"/>
          <w:sz w:val="22"/>
          <w:szCs w:val="22"/>
        </w:rPr>
      </w:pPr>
    </w:p>
    <w:p w14:paraId="251828BA" w14:textId="77777777" w:rsidR="00355CDC" w:rsidRPr="00355CDC" w:rsidRDefault="00355CDC" w:rsidP="00355CDC">
      <w:pPr>
        <w:spacing w:line="259" w:lineRule="auto"/>
        <w:jc w:val="both"/>
        <w:rPr>
          <w:rFonts w:ascii="Arial" w:hAnsi="Arial" w:cs="Arial"/>
          <w:sz w:val="22"/>
          <w:szCs w:val="22"/>
        </w:rPr>
      </w:pPr>
      <w:r w:rsidRPr="00355CDC">
        <w:rPr>
          <w:rFonts w:ascii="Arial" w:hAnsi="Arial" w:cs="Arial"/>
          <w:sz w:val="22"/>
          <w:szCs w:val="22"/>
        </w:rPr>
        <w:t>Beyond copyright, GenAI implicates other IP rights. AI-generated content may infringe trade marks by reproducing logos or brand identifiers, potentially leading to dilution or passing off. In Getty, the use of Getty’s watermark in generated images forms part of its trade mark infringement and passing off claim</w:t>
      </w:r>
      <w:r w:rsidRPr="00355CDC">
        <w:rPr>
          <w:rStyle w:val="FootnoteReference"/>
          <w:rFonts w:ascii="Arial" w:hAnsi="Arial" w:cs="Arial"/>
          <w:sz w:val="22"/>
          <w:szCs w:val="22"/>
        </w:rPr>
        <w:footnoteReference w:id="12"/>
      </w:r>
      <w:r w:rsidRPr="00355CDC">
        <w:rPr>
          <w:rFonts w:ascii="Arial" w:hAnsi="Arial" w:cs="Arial"/>
          <w:sz w:val="22"/>
          <w:szCs w:val="22"/>
        </w:rPr>
        <w:t>. Database rights may also be infringed if GenAI models extract or re-utilise data compiled with substantial investment, as alleged by Getty in relation to its image-caption databases. Furthermore, UK patent law does not permit AI systems to be named as inventors. In Thaler v Comptroller-General of Patents, the Supreme Court held that only natural persons can hold inventorship, even if the invention is AI-generated.</w:t>
      </w:r>
      <w:r w:rsidRPr="00355CDC">
        <w:rPr>
          <w:rStyle w:val="FootnoteReference"/>
          <w:rFonts w:ascii="Arial" w:hAnsi="Arial" w:cs="Arial"/>
          <w:sz w:val="22"/>
          <w:szCs w:val="22"/>
        </w:rPr>
        <w:footnoteReference w:id="13"/>
      </w:r>
    </w:p>
    <w:p w14:paraId="2ADF223E" w14:textId="77777777" w:rsidR="00355CDC" w:rsidRPr="00355CDC" w:rsidRDefault="00355CDC" w:rsidP="00355CDC">
      <w:pPr>
        <w:spacing w:line="259" w:lineRule="auto"/>
        <w:jc w:val="both"/>
        <w:rPr>
          <w:rFonts w:ascii="Arial" w:hAnsi="Arial" w:cs="Arial"/>
          <w:sz w:val="22"/>
          <w:szCs w:val="22"/>
        </w:rPr>
      </w:pPr>
      <w:r w:rsidRPr="00355CDC">
        <w:rPr>
          <w:rFonts w:ascii="Arial" w:hAnsi="Arial" w:cs="Arial"/>
          <w:sz w:val="22"/>
          <w:szCs w:val="22"/>
        </w:rPr>
        <w:t>There remains legal ambiguity over who is liable when GenAI outputs infringe IP rights. Current thinking from the UKIPO and in academic commentary suggests liability should rest with the party who has effective control over the model, the ability to prevent further harm, and the capacity to compensate the rights holder.</w:t>
      </w:r>
      <w:r w:rsidRPr="00355CDC">
        <w:rPr>
          <w:rFonts w:ascii="Arial" w:hAnsi="Arial" w:cs="Arial"/>
          <w:sz w:val="22"/>
          <w:szCs w:val="22"/>
          <w:vertAlign w:val="superscript"/>
        </w:rPr>
        <w:footnoteReference w:id="14"/>
      </w:r>
      <w:r w:rsidRPr="00355CDC">
        <w:rPr>
          <w:rFonts w:ascii="Arial" w:hAnsi="Arial" w:cs="Arial"/>
          <w:sz w:val="22"/>
          <w:szCs w:val="22"/>
        </w:rPr>
        <w:t xml:space="preserve"> This could be the AI developer, platform provider, or in some cases, the end user—depending on the circumstances of the infringement.</w:t>
      </w:r>
    </w:p>
    <w:p w14:paraId="55C40C9A" w14:textId="77777777" w:rsidR="00355CDC" w:rsidRPr="00355CDC" w:rsidRDefault="00355CDC" w:rsidP="00355CDC">
      <w:pPr>
        <w:spacing w:line="259" w:lineRule="auto"/>
        <w:jc w:val="both"/>
        <w:rPr>
          <w:rFonts w:ascii="Arial" w:hAnsi="Arial" w:cs="Arial"/>
          <w:sz w:val="22"/>
          <w:szCs w:val="22"/>
        </w:rPr>
      </w:pPr>
    </w:p>
    <w:p w14:paraId="4D31609E" w14:textId="77777777" w:rsidR="00355CDC" w:rsidRPr="00355CDC" w:rsidRDefault="00355CDC" w:rsidP="00355CDC">
      <w:pPr>
        <w:spacing w:line="259" w:lineRule="auto"/>
        <w:jc w:val="both"/>
        <w:rPr>
          <w:rFonts w:ascii="Arial" w:hAnsi="Arial" w:cs="Arial"/>
          <w:sz w:val="22"/>
          <w:szCs w:val="22"/>
        </w:rPr>
      </w:pPr>
      <w:r w:rsidRPr="00355CDC">
        <w:rPr>
          <w:rFonts w:ascii="Arial" w:hAnsi="Arial" w:cs="Arial"/>
          <w:sz w:val="22"/>
          <w:szCs w:val="22"/>
        </w:rPr>
        <w:t xml:space="preserve">Looking ahead to 2025-2026, litigation and legislative developments in the UK and internationally are expected to shape the future of GenAI regulation. The High Court trial in </w:t>
      </w:r>
      <w:r w:rsidRPr="00355CDC">
        <w:rPr>
          <w:rFonts w:ascii="Arial" w:hAnsi="Arial" w:cs="Arial"/>
          <w:i/>
          <w:iCs/>
          <w:sz w:val="22"/>
          <w:szCs w:val="22"/>
        </w:rPr>
        <w:t>Getty Images v Stability AI</w:t>
      </w:r>
      <w:r w:rsidRPr="00355CDC">
        <w:rPr>
          <w:rFonts w:ascii="Arial" w:hAnsi="Arial" w:cs="Arial"/>
          <w:sz w:val="22"/>
          <w:szCs w:val="22"/>
        </w:rPr>
        <w:t xml:space="preserve"> is scheduled to begin in June 2025 and will be closely watched for its treatment of key IP concepts, including secondary infringement and database rights. The UK Government is expected to publish its response to the 2024–25 copyright and AI consultation later this year, with potential legislative proposals relating to text and data mining, transparency obligations, and licensing mechanisms. At the EU level, transparency requirements under the AI Act will begin applying to General Purpose AI models from August 2025. Together, these developments signal a shift towards greater regulatory clarity and accountability in the use of copyrighted content in AI systems.</w:t>
      </w:r>
    </w:p>
    <w:p w14:paraId="0259467F" w14:textId="77777777" w:rsidR="00355CDC" w:rsidRPr="00355CDC" w:rsidRDefault="00355CDC" w:rsidP="00355CDC">
      <w:pPr>
        <w:rPr>
          <w:rFonts w:ascii="Arial" w:hAnsi="Arial" w:cs="Arial"/>
          <w:sz w:val="22"/>
          <w:szCs w:val="22"/>
        </w:rPr>
      </w:pPr>
    </w:p>
    <w:p w14:paraId="5F394069" w14:textId="7FF93BC3" w:rsidR="00355CDC" w:rsidRPr="00355CDC" w:rsidRDefault="00355CDC" w:rsidP="00355CDC">
      <w:pPr>
        <w:rPr>
          <w:rFonts w:ascii="Arial" w:hAnsi="Arial" w:cs="Arial"/>
          <w:sz w:val="22"/>
          <w:szCs w:val="22"/>
        </w:rPr>
      </w:pPr>
    </w:p>
    <w:sectPr w:rsidR="00355CDC" w:rsidRPr="00355CDC" w:rsidSect="00BD7B25">
      <w:pgSz w:w="11900" w:h="168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528F" w14:textId="77777777" w:rsidR="000F58E5" w:rsidRDefault="000F58E5" w:rsidP="00355CDC">
      <w:r>
        <w:separator/>
      </w:r>
    </w:p>
  </w:endnote>
  <w:endnote w:type="continuationSeparator" w:id="0">
    <w:p w14:paraId="4EBC6106" w14:textId="77777777" w:rsidR="000F58E5" w:rsidRDefault="000F58E5" w:rsidP="0035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986E" w14:textId="77777777" w:rsidR="000F58E5" w:rsidRDefault="000F58E5" w:rsidP="00355CDC">
      <w:r>
        <w:separator/>
      </w:r>
    </w:p>
  </w:footnote>
  <w:footnote w:type="continuationSeparator" w:id="0">
    <w:p w14:paraId="479BA2D8" w14:textId="77777777" w:rsidR="000F58E5" w:rsidRDefault="000F58E5" w:rsidP="00355CDC">
      <w:r>
        <w:continuationSeparator/>
      </w:r>
    </w:p>
  </w:footnote>
  <w:footnote w:id="1">
    <w:p w14:paraId="7A545ACC" w14:textId="77777777" w:rsidR="00355CDC" w:rsidRPr="004E388B" w:rsidRDefault="00355CDC" w:rsidP="00355CDC">
      <w:pPr>
        <w:pStyle w:val="FootnoteText"/>
        <w:rPr>
          <w:sz w:val="16"/>
          <w:szCs w:val="16"/>
        </w:rPr>
      </w:pPr>
      <w:r w:rsidRPr="005D5453">
        <w:rPr>
          <w:rStyle w:val="FootnoteReference"/>
          <w:rFonts w:ascii="Arial" w:hAnsi="Arial" w:cs="Arial"/>
          <w:sz w:val="14"/>
          <w:szCs w:val="14"/>
        </w:rPr>
        <w:footnoteRef/>
      </w:r>
      <w:r w:rsidRPr="005D5453">
        <w:rPr>
          <w:rFonts w:ascii="Arial" w:hAnsi="Arial" w:cs="Arial"/>
          <w:sz w:val="14"/>
          <w:szCs w:val="14"/>
        </w:rPr>
        <w:t xml:space="preserve"> HM Government (2021) </w:t>
      </w:r>
      <w:r w:rsidRPr="005D5453">
        <w:rPr>
          <w:rFonts w:ascii="Arial" w:hAnsi="Arial" w:cs="Arial"/>
          <w:i/>
          <w:iCs/>
          <w:sz w:val="14"/>
          <w:szCs w:val="14"/>
        </w:rPr>
        <w:t>'National AI Strategy.</w:t>
      </w:r>
      <w:r w:rsidRPr="005D5453">
        <w:rPr>
          <w:rFonts w:ascii="Arial" w:hAnsi="Arial" w:cs="Arial"/>
          <w:sz w:val="14"/>
          <w:szCs w:val="14"/>
        </w:rPr>
        <w:t xml:space="preserve">' Available at: </w:t>
      </w:r>
      <w:hyperlink r:id="rId1" w:history="1">
        <w:r w:rsidRPr="005D5453">
          <w:rPr>
            <w:rStyle w:val="Hyperlink"/>
            <w:rFonts w:ascii="Arial" w:hAnsi="Arial" w:cs="Arial"/>
            <w:sz w:val="14"/>
            <w:szCs w:val="14"/>
          </w:rPr>
          <w:t>National AI Strategy</w:t>
        </w:r>
      </w:hyperlink>
      <w:r w:rsidRPr="005D5453">
        <w:rPr>
          <w:rFonts w:ascii="Arial" w:hAnsi="Arial" w:cs="Arial"/>
          <w:sz w:val="14"/>
          <w:szCs w:val="14"/>
        </w:rPr>
        <w:t xml:space="preserve"> [Accessed: 8 April 2025].</w:t>
      </w:r>
    </w:p>
  </w:footnote>
  <w:footnote w:id="2">
    <w:p w14:paraId="112C364E" w14:textId="77777777" w:rsidR="00355CDC" w:rsidRPr="004E388B" w:rsidRDefault="00355CDC" w:rsidP="00355CDC">
      <w:pPr>
        <w:pStyle w:val="FootnoteText"/>
        <w:rPr>
          <w:sz w:val="16"/>
          <w:szCs w:val="16"/>
        </w:rPr>
      </w:pPr>
      <w:r w:rsidRPr="004E388B">
        <w:rPr>
          <w:rStyle w:val="FootnoteReference"/>
          <w:rFonts w:ascii="Arial" w:hAnsi="Arial" w:cs="Arial"/>
          <w:sz w:val="16"/>
          <w:szCs w:val="16"/>
        </w:rPr>
        <w:footnoteRef/>
      </w:r>
      <w:r w:rsidRPr="004E388B">
        <w:rPr>
          <w:rFonts w:ascii="Arial" w:hAnsi="Arial" w:cs="Arial"/>
          <w:sz w:val="16"/>
          <w:szCs w:val="16"/>
        </w:rPr>
        <w:t xml:space="preserve"> Heloise Wood (2025) </w:t>
      </w:r>
      <w:r w:rsidRPr="004E388B">
        <w:rPr>
          <w:rFonts w:ascii="Arial" w:hAnsi="Arial" w:cs="Arial"/>
          <w:i/>
          <w:iCs/>
          <w:sz w:val="16"/>
          <w:szCs w:val="16"/>
        </w:rPr>
        <w:t xml:space="preserve">'UK IP watchdog receives 13,000 responses to its copyright consultation, as LBF turns its focus to AI' </w:t>
      </w:r>
      <w:r w:rsidRPr="004E388B">
        <w:rPr>
          <w:rFonts w:ascii="Arial" w:hAnsi="Arial" w:cs="Arial"/>
          <w:sz w:val="16"/>
          <w:szCs w:val="16"/>
        </w:rPr>
        <w:t xml:space="preserve">Available at: </w:t>
      </w:r>
      <w:hyperlink r:id="rId2" w:history="1">
        <w:r w:rsidRPr="004E388B">
          <w:rPr>
            <w:rStyle w:val="Hyperlink"/>
            <w:rFonts w:ascii="Arial" w:hAnsi="Arial" w:cs="Arial"/>
            <w:sz w:val="16"/>
            <w:szCs w:val="16"/>
          </w:rPr>
          <w:t>UK IP watchdog receives 13,000 responses to its copyright consultation, as LBF turns its focus to AI</w:t>
        </w:r>
      </w:hyperlink>
      <w:r w:rsidRPr="004E388B">
        <w:rPr>
          <w:rFonts w:ascii="Arial" w:hAnsi="Arial" w:cs="Arial"/>
          <w:sz w:val="16"/>
          <w:szCs w:val="16"/>
        </w:rPr>
        <w:t xml:space="preserve"> [Accessed: 8 April 2025]</w:t>
      </w:r>
    </w:p>
  </w:footnote>
  <w:footnote w:id="3">
    <w:p w14:paraId="682BFAEB" w14:textId="77777777" w:rsidR="00355CDC" w:rsidRPr="00F105FE" w:rsidRDefault="00355CDC" w:rsidP="00355CDC">
      <w:pPr>
        <w:pStyle w:val="FootnoteText"/>
        <w:rPr>
          <w:rFonts w:ascii="Arial" w:hAnsi="Arial" w:cs="Arial"/>
          <w:sz w:val="14"/>
          <w:szCs w:val="14"/>
        </w:rPr>
      </w:pPr>
      <w:r w:rsidRPr="004E388B">
        <w:rPr>
          <w:rStyle w:val="FootnoteReference"/>
          <w:rFonts w:ascii="Arial" w:hAnsi="Arial" w:cs="Arial"/>
          <w:sz w:val="16"/>
          <w:szCs w:val="16"/>
        </w:rPr>
        <w:footnoteRef/>
      </w:r>
      <w:r w:rsidRPr="004E388B">
        <w:rPr>
          <w:rFonts w:ascii="Arial" w:hAnsi="Arial" w:cs="Arial"/>
          <w:sz w:val="16"/>
          <w:szCs w:val="16"/>
        </w:rPr>
        <w:t xml:space="preserve"> UK Intellectual Property Office (UKIPO). (2022). </w:t>
      </w:r>
      <w:r w:rsidRPr="004E388B">
        <w:rPr>
          <w:rFonts w:ascii="Arial" w:hAnsi="Arial" w:cs="Arial"/>
          <w:i/>
          <w:iCs/>
          <w:sz w:val="16"/>
          <w:szCs w:val="16"/>
        </w:rPr>
        <w:t xml:space="preserve">'Artificial intelligence and intellectual property: copyright and patents – Government response to consultation.' </w:t>
      </w:r>
      <w:r w:rsidRPr="004E388B">
        <w:rPr>
          <w:rFonts w:ascii="Arial" w:hAnsi="Arial" w:cs="Arial"/>
          <w:sz w:val="16"/>
          <w:szCs w:val="16"/>
        </w:rPr>
        <w:t xml:space="preserve">[online] Available at: </w:t>
      </w:r>
      <w:hyperlink r:id="rId3" w:history="1">
        <w:r w:rsidRPr="00F105FE">
          <w:rPr>
            <w:rStyle w:val="Hyperlink"/>
            <w:rFonts w:ascii="Arial" w:hAnsi="Arial" w:cs="Arial"/>
            <w:sz w:val="14"/>
            <w:szCs w:val="14"/>
          </w:rPr>
          <w:t>https://www.gov.uk/government/consultations/artificial-intelligence-and-ip-copyright-and-patents/outcome/artificial-intelligence-and-intellectual-property-copyright-and-patents-government-response-to-consultation</w:t>
        </w:r>
      </w:hyperlink>
      <w:r w:rsidRPr="00F105FE">
        <w:rPr>
          <w:rFonts w:ascii="Arial" w:hAnsi="Arial" w:cs="Arial"/>
          <w:sz w:val="14"/>
          <w:szCs w:val="14"/>
        </w:rPr>
        <w:t xml:space="preserve"> [Accessed 8 Apr. 2025].</w:t>
      </w:r>
    </w:p>
  </w:footnote>
  <w:footnote w:id="4">
    <w:p w14:paraId="7A45E621" w14:textId="77777777" w:rsidR="00355CDC" w:rsidRPr="00F105FE" w:rsidRDefault="00355CDC" w:rsidP="00355CDC">
      <w:pPr>
        <w:pStyle w:val="FootnoteText"/>
        <w:rPr>
          <w:rFonts w:ascii="Arial" w:hAnsi="Arial" w:cs="Arial"/>
          <w:sz w:val="14"/>
          <w:szCs w:val="14"/>
        </w:rPr>
      </w:pPr>
      <w:r w:rsidRPr="00F105FE">
        <w:rPr>
          <w:rStyle w:val="FootnoteReference"/>
          <w:rFonts w:ascii="Arial" w:hAnsi="Arial" w:cs="Arial"/>
          <w:sz w:val="14"/>
          <w:szCs w:val="14"/>
        </w:rPr>
        <w:footnoteRef/>
      </w:r>
      <w:r w:rsidRPr="00F105FE">
        <w:rPr>
          <w:rFonts w:ascii="Arial" w:hAnsi="Arial" w:cs="Arial"/>
          <w:sz w:val="14"/>
          <w:szCs w:val="14"/>
        </w:rPr>
        <w:t xml:space="preserve"> Lewis Silkin (2024) </w:t>
      </w:r>
      <w:r w:rsidRPr="00F105FE">
        <w:rPr>
          <w:rFonts w:ascii="Arial" w:hAnsi="Arial" w:cs="Arial"/>
          <w:i/>
          <w:iCs/>
          <w:sz w:val="14"/>
          <w:szCs w:val="14"/>
        </w:rPr>
        <w:t>'UK Government Consultation: Copyright, AI and the Proposed "Opt-Out" Model'</w:t>
      </w:r>
      <w:r w:rsidRPr="00F105FE">
        <w:rPr>
          <w:rFonts w:ascii="Arial" w:hAnsi="Arial" w:cs="Arial"/>
          <w:sz w:val="14"/>
          <w:szCs w:val="14"/>
        </w:rPr>
        <w:t xml:space="preserve">, Lewis Silkin Insights, 17 December. Available at: </w:t>
      </w:r>
      <w:hyperlink r:id="rId4" w:history="1">
        <w:r w:rsidRPr="00F105FE">
          <w:rPr>
            <w:rStyle w:val="Hyperlink"/>
            <w:rFonts w:ascii="Arial" w:hAnsi="Arial" w:cs="Arial"/>
            <w:sz w:val="14"/>
            <w:szCs w:val="14"/>
          </w:rPr>
          <w:t>https://www.lewissilkin.com/insights/2024/12/17/uk-government-consultation-copyright-ai-and-the-proposed-opt-out-model-102jrlu</w:t>
        </w:r>
      </w:hyperlink>
      <w:r>
        <w:rPr>
          <w:rFonts w:ascii="Arial" w:hAnsi="Arial" w:cs="Arial"/>
          <w:sz w:val="14"/>
          <w:szCs w:val="14"/>
        </w:rPr>
        <w:t>[Accessed: 8 April 2025]</w:t>
      </w:r>
      <w:r w:rsidRPr="00F105FE">
        <w:rPr>
          <w:rFonts w:ascii="Arial" w:hAnsi="Arial" w:cs="Arial"/>
          <w:sz w:val="14"/>
          <w:szCs w:val="14"/>
        </w:rPr>
        <w:t>.</w:t>
      </w:r>
    </w:p>
  </w:footnote>
  <w:footnote w:id="5">
    <w:p w14:paraId="669A7B3E" w14:textId="77777777" w:rsidR="00355CDC" w:rsidRPr="00F105FE" w:rsidRDefault="00355CDC" w:rsidP="00355CDC">
      <w:pPr>
        <w:pStyle w:val="FootnoteText"/>
        <w:rPr>
          <w:rFonts w:ascii="Arial" w:hAnsi="Arial" w:cs="Arial"/>
          <w:sz w:val="14"/>
          <w:szCs w:val="14"/>
        </w:rPr>
      </w:pPr>
      <w:r w:rsidRPr="00F105FE">
        <w:rPr>
          <w:rStyle w:val="FootnoteReference"/>
          <w:rFonts w:ascii="Arial" w:hAnsi="Arial" w:cs="Arial"/>
          <w:sz w:val="14"/>
          <w:szCs w:val="14"/>
        </w:rPr>
        <w:footnoteRef/>
      </w:r>
      <w:r w:rsidRPr="00F105FE">
        <w:rPr>
          <w:rFonts w:ascii="Arial" w:hAnsi="Arial" w:cs="Arial"/>
          <w:sz w:val="14"/>
          <w:szCs w:val="14"/>
        </w:rPr>
        <w:t xml:space="preserve"> Ibid.</w:t>
      </w:r>
    </w:p>
  </w:footnote>
  <w:footnote w:id="6">
    <w:p w14:paraId="4F76F215" w14:textId="77777777" w:rsidR="00355CDC" w:rsidRPr="00F105FE" w:rsidRDefault="00355CDC" w:rsidP="00355CDC">
      <w:pPr>
        <w:pStyle w:val="FootnoteText"/>
        <w:rPr>
          <w:rFonts w:ascii="Arial" w:hAnsi="Arial" w:cs="Arial"/>
          <w:sz w:val="14"/>
          <w:szCs w:val="14"/>
        </w:rPr>
      </w:pPr>
      <w:r w:rsidRPr="00F105FE">
        <w:rPr>
          <w:rStyle w:val="FootnoteReference"/>
          <w:rFonts w:ascii="Arial" w:hAnsi="Arial" w:cs="Arial"/>
          <w:sz w:val="14"/>
          <w:szCs w:val="14"/>
        </w:rPr>
        <w:footnoteRef/>
      </w:r>
      <w:r w:rsidRPr="00F105FE">
        <w:rPr>
          <w:rFonts w:ascii="Arial" w:hAnsi="Arial" w:cs="Arial"/>
          <w:sz w:val="14"/>
          <w:szCs w:val="14"/>
        </w:rPr>
        <w:t xml:space="preserve"> British Copyright Council (2025) </w:t>
      </w:r>
      <w:r w:rsidRPr="00F105FE">
        <w:rPr>
          <w:rFonts w:ascii="Arial" w:hAnsi="Arial" w:cs="Arial"/>
          <w:i/>
          <w:iCs/>
          <w:sz w:val="14"/>
          <w:szCs w:val="14"/>
        </w:rPr>
        <w:t>'BCC response to Copyright &amp; AI Consultation highlights strength of current copyright regime, risks attached to Government’s proposed exception and importance of transparency and licensing'</w:t>
      </w:r>
      <w:r w:rsidRPr="00F105FE">
        <w:rPr>
          <w:rFonts w:ascii="Arial" w:hAnsi="Arial" w:cs="Arial"/>
          <w:sz w:val="14"/>
          <w:szCs w:val="14"/>
        </w:rPr>
        <w:t xml:space="preserve">. Available at: https://www.britishcopyright.org/bcc-response-to-copyright-ai-consultation-highlights-strength-of-current-copyright-regime-risks-attached-to-governments-proposed-exception-and-importance-of-transparency-and-licensing/ </w:t>
      </w:r>
      <w:r>
        <w:rPr>
          <w:rFonts w:ascii="Arial" w:hAnsi="Arial" w:cs="Arial"/>
          <w:sz w:val="14"/>
          <w:szCs w:val="14"/>
        </w:rPr>
        <w:t>[Accessed: 8 April 2025]</w:t>
      </w:r>
      <w:r w:rsidRPr="00F105FE">
        <w:rPr>
          <w:rFonts w:ascii="Arial" w:hAnsi="Arial" w:cs="Arial"/>
          <w:sz w:val="14"/>
          <w:szCs w:val="14"/>
        </w:rPr>
        <w:t>.</w:t>
      </w:r>
    </w:p>
  </w:footnote>
  <w:footnote w:id="7">
    <w:p w14:paraId="2131F370" w14:textId="77777777" w:rsidR="00355CDC" w:rsidRPr="00F105FE" w:rsidRDefault="00355CDC" w:rsidP="00355CDC">
      <w:pPr>
        <w:pStyle w:val="FootnoteText"/>
        <w:rPr>
          <w:rFonts w:ascii="Arial" w:hAnsi="Arial" w:cs="Arial"/>
          <w:sz w:val="14"/>
          <w:szCs w:val="14"/>
        </w:rPr>
      </w:pPr>
      <w:r w:rsidRPr="00F105FE">
        <w:rPr>
          <w:rStyle w:val="FootnoteReference"/>
          <w:rFonts w:ascii="Arial" w:hAnsi="Arial" w:cs="Arial"/>
          <w:sz w:val="14"/>
          <w:szCs w:val="14"/>
        </w:rPr>
        <w:footnoteRef/>
      </w:r>
      <w:r w:rsidRPr="00F105FE">
        <w:rPr>
          <w:rFonts w:ascii="Arial" w:hAnsi="Arial" w:cs="Arial"/>
          <w:sz w:val="14"/>
          <w:szCs w:val="14"/>
        </w:rPr>
        <w:t xml:space="preserve"> Department for Science, Innovation and Technology (2022) </w:t>
      </w:r>
      <w:r w:rsidRPr="00F105FE">
        <w:rPr>
          <w:rFonts w:ascii="Arial" w:hAnsi="Arial" w:cs="Arial"/>
          <w:i/>
          <w:iCs/>
          <w:sz w:val="14"/>
          <w:szCs w:val="14"/>
        </w:rPr>
        <w:t xml:space="preserve">'Artificial Intelligence and Intellectual Property: copyright and patents - Government response to consultation.' </w:t>
      </w:r>
      <w:r w:rsidRPr="00F105FE">
        <w:rPr>
          <w:rFonts w:ascii="Arial" w:hAnsi="Arial" w:cs="Arial"/>
          <w:sz w:val="14"/>
          <w:szCs w:val="14"/>
        </w:rPr>
        <w:t xml:space="preserve">Available at: </w:t>
      </w:r>
      <w:hyperlink r:id="rId5" w:history="1">
        <w:r w:rsidRPr="00F105FE">
          <w:rPr>
            <w:rStyle w:val="Hyperlink"/>
            <w:rFonts w:ascii="Arial" w:hAnsi="Arial" w:cs="Arial"/>
            <w:sz w:val="14"/>
            <w:szCs w:val="14"/>
          </w:rPr>
          <w:t>https://www.gov.uk/government/consultations/artificial-intelligence-and-ip-copyright-and-patents/outcome/artificial-intelligence-and-intellectual-property-copyright-and-patents-government-response-to-consultation</w:t>
        </w:r>
      </w:hyperlink>
      <w:r w:rsidRPr="00F105FE">
        <w:rPr>
          <w:rFonts w:ascii="Arial" w:hAnsi="Arial" w:cs="Arial"/>
          <w:sz w:val="14"/>
          <w:szCs w:val="14"/>
        </w:rPr>
        <w:t xml:space="preserve"> </w:t>
      </w:r>
      <w:r>
        <w:rPr>
          <w:rFonts w:ascii="Arial" w:hAnsi="Arial" w:cs="Arial"/>
          <w:sz w:val="14"/>
          <w:szCs w:val="14"/>
        </w:rPr>
        <w:t>[Accessed: 8 April 2025]</w:t>
      </w:r>
      <w:r w:rsidRPr="00F105FE">
        <w:rPr>
          <w:rFonts w:ascii="Arial" w:hAnsi="Arial" w:cs="Arial"/>
          <w:sz w:val="14"/>
          <w:szCs w:val="14"/>
        </w:rPr>
        <w:t>.</w:t>
      </w:r>
    </w:p>
  </w:footnote>
  <w:footnote w:id="8">
    <w:p w14:paraId="1454C111" w14:textId="77777777" w:rsidR="00355CDC" w:rsidRPr="00F105FE" w:rsidRDefault="00355CDC" w:rsidP="00355CDC">
      <w:pPr>
        <w:pStyle w:val="FootnoteText"/>
        <w:rPr>
          <w:rFonts w:ascii="Arial" w:hAnsi="Arial" w:cs="Arial"/>
          <w:sz w:val="14"/>
          <w:szCs w:val="14"/>
        </w:rPr>
      </w:pPr>
      <w:r w:rsidRPr="00F105FE">
        <w:rPr>
          <w:rStyle w:val="FootnoteReference"/>
          <w:rFonts w:ascii="Arial" w:hAnsi="Arial" w:cs="Arial"/>
          <w:sz w:val="14"/>
          <w:szCs w:val="14"/>
        </w:rPr>
        <w:footnoteRef/>
      </w:r>
      <w:r w:rsidRPr="00F105FE">
        <w:rPr>
          <w:rFonts w:ascii="Arial" w:hAnsi="Arial" w:cs="Arial"/>
          <w:sz w:val="14"/>
          <w:szCs w:val="14"/>
        </w:rPr>
        <w:t xml:space="preserve"> Getty Images (US) Inc and Others v Stability AI Ltd [2025] EWHC 38 (Ch). Available at: </w:t>
      </w:r>
      <w:hyperlink r:id="rId6" w:history="1">
        <w:r w:rsidRPr="00F105FE">
          <w:rPr>
            <w:rStyle w:val="Hyperlink"/>
            <w:rFonts w:ascii="Arial" w:hAnsi="Arial" w:cs="Arial"/>
            <w:sz w:val="14"/>
            <w:szCs w:val="14"/>
          </w:rPr>
          <w:t>https://www.judiciary.uk/wp-content/uploads/2025/01/Getty-Images-and-others-v-Stability-AI-14.01.25.pdf</w:t>
        </w:r>
      </w:hyperlink>
      <w:r w:rsidRPr="00F105FE">
        <w:rPr>
          <w:rFonts w:ascii="Arial" w:hAnsi="Arial" w:cs="Arial"/>
          <w:sz w:val="14"/>
          <w:szCs w:val="14"/>
        </w:rPr>
        <w:t xml:space="preserve">  </w:t>
      </w:r>
      <w:r>
        <w:rPr>
          <w:rFonts w:ascii="Arial" w:hAnsi="Arial" w:cs="Arial"/>
          <w:sz w:val="14"/>
          <w:szCs w:val="14"/>
        </w:rPr>
        <w:t>[Accessed: 8 April 2025]</w:t>
      </w:r>
      <w:r w:rsidRPr="00F105FE">
        <w:rPr>
          <w:rFonts w:ascii="Arial" w:hAnsi="Arial" w:cs="Arial"/>
          <w:sz w:val="14"/>
          <w:szCs w:val="14"/>
        </w:rPr>
        <w:t>.</w:t>
      </w:r>
    </w:p>
  </w:footnote>
  <w:footnote w:id="9">
    <w:p w14:paraId="127F778E" w14:textId="77777777" w:rsidR="00355CDC" w:rsidRPr="00F105FE" w:rsidRDefault="00355CDC" w:rsidP="00355CDC">
      <w:pPr>
        <w:pStyle w:val="FootnoteText"/>
        <w:rPr>
          <w:rFonts w:ascii="Arial" w:hAnsi="Arial" w:cs="Arial"/>
          <w:sz w:val="14"/>
          <w:szCs w:val="14"/>
        </w:rPr>
      </w:pPr>
      <w:r w:rsidRPr="00F105FE">
        <w:rPr>
          <w:rStyle w:val="FootnoteReference"/>
          <w:rFonts w:ascii="Arial" w:hAnsi="Arial" w:cs="Arial"/>
          <w:sz w:val="14"/>
          <w:szCs w:val="14"/>
        </w:rPr>
        <w:footnoteRef/>
      </w:r>
      <w:r w:rsidRPr="00F105FE">
        <w:rPr>
          <w:rFonts w:ascii="Arial" w:hAnsi="Arial" w:cs="Arial"/>
          <w:sz w:val="14"/>
          <w:szCs w:val="14"/>
        </w:rPr>
        <w:t xml:space="preserve"> Department for Digital, Culture, Media &amp; Sport (2024) </w:t>
      </w:r>
      <w:r w:rsidRPr="00F105FE">
        <w:rPr>
          <w:rFonts w:ascii="Arial" w:hAnsi="Arial" w:cs="Arial"/>
          <w:i/>
          <w:iCs/>
          <w:sz w:val="14"/>
          <w:szCs w:val="14"/>
        </w:rPr>
        <w:t>'Copyright and Artificial Intelligence'.</w:t>
      </w:r>
      <w:r w:rsidRPr="00F105FE">
        <w:rPr>
          <w:rFonts w:ascii="Arial" w:hAnsi="Arial" w:cs="Arial"/>
          <w:sz w:val="14"/>
          <w:szCs w:val="14"/>
        </w:rPr>
        <w:t xml:space="preserve"> Available at: https://www.gov.uk/government/consultations/copyright-and-artificial-intelligence/copyright-and-artificial-intelligence </w:t>
      </w:r>
      <w:r>
        <w:rPr>
          <w:rFonts w:ascii="Arial" w:hAnsi="Arial" w:cs="Arial"/>
          <w:sz w:val="14"/>
          <w:szCs w:val="14"/>
        </w:rPr>
        <w:t>[Accessed: 8 April 2025]</w:t>
      </w:r>
      <w:r w:rsidRPr="00F105FE">
        <w:rPr>
          <w:rFonts w:ascii="Arial" w:hAnsi="Arial" w:cs="Arial"/>
          <w:sz w:val="14"/>
          <w:szCs w:val="14"/>
        </w:rPr>
        <w:t>.</w:t>
      </w:r>
    </w:p>
  </w:footnote>
  <w:footnote w:id="10">
    <w:p w14:paraId="3F1A35EA" w14:textId="77777777" w:rsidR="00355CDC" w:rsidRDefault="00355CDC" w:rsidP="00355CDC">
      <w:pPr>
        <w:pStyle w:val="FootnoteText"/>
      </w:pPr>
      <w:r>
        <w:rPr>
          <w:rStyle w:val="FootnoteReference"/>
        </w:rPr>
        <w:footnoteRef/>
      </w:r>
      <w:r>
        <w:t xml:space="preserve"> </w:t>
      </w:r>
      <w:r w:rsidRPr="00F105FE">
        <w:rPr>
          <w:rFonts w:ascii="Arial" w:hAnsi="Arial" w:cs="Arial"/>
          <w:sz w:val="14"/>
          <w:szCs w:val="14"/>
        </w:rPr>
        <w:t xml:space="preserve">Pinsent Masons (2024) </w:t>
      </w:r>
      <w:r w:rsidRPr="00F105FE">
        <w:rPr>
          <w:rFonts w:ascii="Arial" w:hAnsi="Arial" w:cs="Arial"/>
          <w:i/>
          <w:iCs/>
          <w:sz w:val="14"/>
          <w:szCs w:val="14"/>
        </w:rPr>
        <w:t>'Getty Images v Stability AI: the implications for UK copyright law and licensing'.</w:t>
      </w:r>
      <w:r w:rsidRPr="00F105FE">
        <w:rPr>
          <w:rFonts w:ascii="Arial" w:hAnsi="Arial" w:cs="Arial"/>
          <w:sz w:val="14"/>
          <w:szCs w:val="14"/>
        </w:rPr>
        <w:t xml:space="preserve"> Available at: </w:t>
      </w:r>
      <w:hyperlink r:id="rId7" w:history="1">
        <w:r w:rsidRPr="00692BCD">
          <w:rPr>
            <w:rStyle w:val="Hyperlink"/>
            <w:rFonts w:ascii="Arial" w:hAnsi="Arial" w:cs="Arial"/>
            <w:sz w:val="14"/>
            <w:szCs w:val="14"/>
          </w:rPr>
          <w:t>https://www.pinsentmasons.com/out-law/analysis/getty-images-v-stability-ai-implications-copyright-law-licensing</w:t>
        </w:r>
      </w:hyperlink>
      <w:r>
        <w:rPr>
          <w:rFonts w:ascii="Arial" w:hAnsi="Arial" w:cs="Arial"/>
          <w:sz w:val="14"/>
          <w:szCs w:val="14"/>
        </w:rPr>
        <w:t xml:space="preserve"> [Accessed: 8 April 2025]</w:t>
      </w:r>
      <w:r w:rsidRPr="00F105FE">
        <w:rPr>
          <w:rFonts w:ascii="Arial" w:hAnsi="Arial" w:cs="Arial"/>
          <w:sz w:val="14"/>
          <w:szCs w:val="14"/>
        </w:rPr>
        <w:t>.</w:t>
      </w:r>
    </w:p>
  </w:footnote>
  <w:footnote w:id="11">
    <w:p w14:paraId="6B9315BE" w14:textId="77777777" w:rsidR="00355CDC" w:rsidRDefault="00355CDC" w:rsidP="00355CDC">
      <w:pPr>
        <w:pStyle w:val="FootnoteText"/>
      </w:pPr>
      <w:r w:rsidRPr="00F105FE">
        <w:rPr>
          <w:rStyle w:val="FootnoteReference"/>
          <w:rFonts w:ascii="Arial" w:hAnsi="Arial" w:cs="Arial"/>
          <w:sz w:val="14"/>
          <w:szCs w:val="14"/>
        </w:rPr>
        <w:footnoteRef/>
      </w:r>
      <w:r w:rsidRPr="00F105FE">
        <w:rPr>
          <w:rFonts w:ascii="Arial" w:hAnsi="Arial" w:cs="Arial"/>
          <w:sz w:val="14"/>
          <w:szCs w:val="14"/>
        </w:rPr>
        <w:t xml:space="preserve"> Penningtons Manches Cooper LLP (2024) </w:t>
      </w:r>
      <w:r w:rsidRPr="00F105FE">
        <w:rPr>
          <w:rFonts w:ascii="Arial" w:hAnsi="Arial" w:cs="Arial"/>
          <w:i/>
          <w:iCs/>
          <w:sz w:val="14"/>
          <w:szCs w:val="14"/>
        </w:rPr>
        <w:t>'Generative AI in the courts: Getty Images v Stability AI'.</w:t>
      </w:r>
      <w:r w:rsidRPr="00F105FE">
        <w:rPr>
          <w:rFonts w:ascii="Arial" w:hAnsi="Arial" w:cs="Arial"/>
          <w:sz w:val="14"/>
          <w:szCs w:val="14"/>
        </w:rPr>
        <w:t xml:space="preserve"> Available at: </w:t>
      </w:r>
      <w:hyperlink r:id="rId8" w:history="1">
        <w:r w:rsidRPr="00F105FE">
          <w:rPr>
            <w:rStyle w:val="Hyperlink"/>
            <w:rFonts w:ascii="Arial" w:hAnsi="Arial" w:cs="Arial"/>
            <w:sz w:val="14"/>
            <w:szCs w:val="14"/>
          </w:rPr>
          <w:t>https://www.penningtonslaw.com/news-publications/latest-news/2024/generative-ai-in-the-courts-getty-images-v-stability-ai</w:t>
        </w:r>
      </w:hyperlink>
      <w:r w:rsidRPr="00F105FE">
        <w:rPr>
          <w:rFonts w:ascii="Arial" w:hAnsi="Arial" w:cs="Arial"/>
          <w:sz w:val="14"/>
          <w:szCs w:val="14"/>
        </w:rPr>
        <w:t xml:space="preserve">  </w:t>
      </w:r>
      <w:r>
        <w:rPr>
          <w:rFonts w:ascii="Arial" w:hAnsi="Arial" w:cs="Arial"/>
          <w:sz w:val="14"/>
          <w:szCs w:val="14"/>
        </w:rPr>
        <w:t>[Accessed: 8 April 2025]</w:t>
      </w:r>
      <w:r w:rsidRPr="00F105FE">
        <w:rPr>
          <w:rFonts w:ascii="Arial" w:hAnsi="Arial" w:cs="Arial"/>
          <w:sz w:val="14"/>
          <w:szCs w:val="14"/>
        </w:rPr>
        <w:t>.</w:t>
      </w:r>
    </w:p>
  </w:footnote>
  <w:footnote w:id="12">
    <w:p w14:paraId="04B5FBA9" w14:textId="77777777" w:rsidR="00355CDC" w:rsidRDefault="00355CDC" w:rsidP="00355CDC">
      <w:pPr>
        <w:pStyle w:val="FootnoteText"/>
      </w:pPr>
      <w:r>
        <w:rPr>
          <w:rStyle w:val="FootnoteReference"/>
        </w:rPr>
        <w:footnoteRef/>
      </w:r>
      <w:r>
        <w:t xml:space="preserve"> </w:t>
      </w:r>
      <w:r w:rsidRPr="00F545F0">
        <w:rPr>
          <w:rFonts w:ascii="Arial" w:hAnsi="Arial" w:cs="Arial"/>
          <w:sz w:val="14"/>
          <w:szCs w:val="14"/>
        </w:rPr>
        <w:t>Ibid.</w:t>
      </w:r>
    </w:p>
  </w:footnote>
  <w:footnote w:id="13">
    <w:p w14:paraId="54842995" w14:textId="77777777" w:rsidR="00355CDC" w:rsidRPr="009C3FB0" w:rsidRDefault="00355CDC" w:rsidP="00355CDC">
      <w:pPr>
        <w:pStyle w:val="FootnoteText"/>
        <w:rPr>
          <w:rFonts w:ascii="Arial" w:hAnsi="Arial" w:cs="Arial"/>
          <w:sz w:val="14"/>
          <w:szCs w:val="14"/>
        </w:rPr>
      </w:pPr>
      <w:r w:rsidRPr="009C3FB0">
        <w:rPr>
          <w:rStyle w:val="FootnoteReference"/>
          <w:rFonts w:ascii="Arial" w:hAnsi="Arial" w:cs="Arial"/>
          <w:sz w:val="14"/>
          <w:szCs w:val="14"/>
        </w:rPr>
        <w:footnoteRef/>
      </w:r>
      <w:r w:rsidRPr="009C3FB0">
        <w:rPr>
          <w:rFonts w:ascii="Arial" w:hAnsi="Arial" w:cs="Arial"/>
          <w:sz w:val="14"/>
          <w:szCs w:val="14"/>
        </w:rPr>
        <w:t xml:space="preserve"> Supreme Court of the United Kingdom (2023) </w:t>
      </w:r>
      <w:r w:rsidRPr="009C3FB0">
        <w:rPr>
          <w:rFonts w:ascii="Arial" w:hAnsi="Arial" w:cs="Arial"/>
          <w:i/>
          <w:iCs/>
          <w:sz w:val="14"/>
          <w:szCs w:val="14"/>
        </w:rPr>
        <w:t>'Thaler (Appellant) v Comptroller-General of Patents, Designs and Trade Marks (Respondent)'.</w:t>
      </w:r>
      <w:r w:rsidRPr="009C3FB0">
        <w:rPr>
          <w:rFonts w:ascii="Arial" w:hAnsi="Arial" w:cs="Arial"/>
          <w:sz w:val="14"/>
          <w:szCs w:val="14"/>
        </w:rPr>
        <w:t xml:space="preserve"> Available at: </w:t>
      </w:r>
      <w:hyperlink r:id="rId9" w:history="1">
        <w:r w:rsidRPr="009C3FB0">
          <w:rPr>
            <w:rStyle w:val="Hyperlink"/>
            <w:rFonts w:ascii="Arial" w:hAnsi="Arial" w:cs="Arial"/>
            <w:sz w:val="14"/>
            <w:szCs w:val="14"/>
          </w:rPr>
          <w:t>https://www.supremecourt.uk/cases/uksc-2021-0201.html</w:t>
        </w:r>
      </w:hyperlink>
      <w:r w:rsidRPr="009C3FB0">
        <w:rPr>
          <w:rFonts w:ascii="Arial" w:hAnsi="Arial" w:cs="Arial"/>
          <w:sz w:val="14"/>
          <w:szCs w:val="14"/>
        </w:rPr>
        <w:t xml:space="preserve"> [Accessed: 8 April 2025]</w:t>
      </w:r>
    </w:p>
  </w:footnote>
  <w:footnote w:id="14">
    <w:p w14:paraId="6D3C12E4" w14:textId="77777777" w:rsidR="00355CDC" w:rsidRPr="009C3FB0" w:rsidRDefault="00355CDC" w:rsidP="00355CDC">
      <w:pPr>
        <w:pStyle w:val="FootnoteText"/>
        <w:rPr>
          <w:rFonts w:ascii="Arial" w:hAnsi="Arial" w:cs="Arial"/>
          <w:sz w:val="14"/>
          <w:szCs w:val="14"/>
        </w:rPr>
      </w:pPr>
      <w:r w:rsidRPr="009C3FB0">
        <w:rPr>
          <w:rStyle w:val="FootnoteReference"/>
          <w:rFonts w:ascii="Arial" w:hAnsi="Arial" w:cs="Arial"/>
          <w:sz w:val="14"/>
          <w:szCs w:val="14"/>
        </w:rPr>
        <w:footnoteRef/>
      </w:r>
      <w:r w:rsidRPr="009C3FB0">
        <w:rPr>
          <w:rFonts w:ascii="Arial" w:hAnsi="Arial" w:cs="Arial"/>
          <w:sz w:val="14"/>
          <w:szCs w:val="14"/>
        </w:rPr>
        <w:t xml:space="preserve"> Hogan Lovells. (2022). </w:t>
      </w:r>
      <w:r w:rsidRPr="009C3FB0">
        <w:rPr>
          <w:rFonts w:ascii="Arial" w:hAnsi="Arial" w:cs="Arial"/>
          <w:i/>
          <w:iCs/>
          <w:sz w:val="14"/>
          <w:szCs w:val="14"/>
        </w:rPr>
        <w:t>Artificial intelligence and intellectual property: UK Government responds to UK IPO consultation</w:t>
      </w:r>
      <w:r w:rsidRPr="009C3FB0">
        <w:rPr>
          <w:rFonts w:ascii="Arial" w:hAnsi="Arial" w:cs="Arial"/>
          <w:sz w:val="14"/>
          <w:szCs w:val="14"/>
        </w:rPr>
        <w:t xml:space="preserve">.' [online] Available at: </w:t>
      </w:r>
      <w:hyperlink r:id="rId10" w:history="1">
        <w:r w:rsidRPr="009C3FB0">
          <w:rPr>
            <w:rStyle w:val="Hyperlink"/>
            <w:rFonts w:ascii="Arial" w:hAnsi="Arial" w:cs="Arial"/>
            <w:sz w:val="14"/>
            <w:szCs w:val="14"/>
          </w:rPr>
          <w:t>Artificial Intelligence and IP: UK IPO consults a second time</w:t>
        </w:r>
      </w:hyperlink>
      <w:r w:rsidRPr="009C3FB0">
        <w:rPr>
          <w:rFonts w:ascii="Arial" w:hAnsi="Arial" w:cs="Arial"/>
          <w:sz w:val="14"/>
          <w:szCs w:val="14"/>
        </w:rPr>
        <w:t>. [Accessed: 8 April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DC"/>
    <w:rsid w:val="00022225"/>
    <w:rsid w:val="000F58E5"/>
    <w:rsid w:val="001B7399"/>
    <w:rsid w:val="0021227D"/>
    <w:rsid w:val="002B3538"/>
    <w:rsid w:val="003450D2"/>
    <w:rsid w:val="00355CDC"/>
    <w:rsid w:val="00376553"/>
    <w:rsid w:val="00483653"/>
    <w:rsid w:val="00557E7C"/>
    <w:rsid w:val="006E43F0"/>
    <w:rsid w:val="007D0AE1"/>
    <w:rsid w:val="008624AE"/>
    <w:rsid w:val="00904CD6"/>
    <w:rsid w:val="009452A5"/>
    <w:rsid w:val="009A136D"/>
    <w:rsid w:val="009C55EE"/>
    <w:rsid w:val="009D014B"/>
    <w:rsid w:val="00A02EA1"/>
    <w:rsid w:val="00A34D87"/>
    <w:rsid w:val="00A60BDA"/>
    <w:rsid w:val="00A63C57"/>
    <w:rsid w:val="00AF6ECF"/>
    <w:rsid w:val="00B01C30"/>
    <w:rsid w:val="00BD4733"/>
    <w:rsid w:val="00BD7B25"/>
    <w:rsid w:val="00C83EE0"/>
    <w:rsid w:val="00D06E01"/>
    <w:rsid w:val="00D6025C"/>
    <w:rsid w:val="00DC3093"/>
    <w:rsid w:val="00E41295"/>
    <w:rsid w:val="00E64353"/>
    <w:rsid w:val="00E67FE9"/>
    <w:rsid w:val="00EA3E09"/>
    <w:rsid w:val="00EB4022"/>
    <w:rsid w:val="00ED45A5"/>
    <w:rsid w:val="00F83FCB"/>
    <w:rsid w:val="00F8623B"/>
    <w:rsid w:val="00FD5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DC73AE"/>
  <w14:defaultImageDpi w14:val="32767"/>
  <w15:chartTrackingRefBased/>
  <w15:docId w15:val="{A3CDB7FD-0802-BE4A-AC90-045A1297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C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C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C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C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CDC"/>
    <w:rPr>
      <w:rFonts w:eastAsiaTheme="majorEastAsia" w:cstheme="majorBidi"/>
      <w:color w:val="272727" w:themeColor="text1" w:themeTint="D8"/>
    </w:rPr>
  </w:style>
  <w:style w:type="paragraph" w:styleId="Title">
    <w:name w:val="Title"/>
    <w:basedOn w:val="Normal"/>
    <w:next w:val="Normal"/>
    <w:link w:val="TitleChar"/>
    <w:uiPriority w:val="10"/>
    <w:qFormat/>
    <w:rsid w:val="00355C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C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C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5CDC"/>
    <w:rPr>
      <w:i/>
      <w:iCs/>
      <w:color w:val="404040" w:themeColor="text1" w:themeTint="BF"/>
    </w:rPr>
  </w:style>
  <w:style w:type="paragraph" w:styleId="ListParagraph">
    <w:name w:val="List Paragraph"/>
    <w:basedOn w:val="Normal"/>
    <w:uiPriority w:val="34"/>
    <w:qFormat/>
    <w:rsid w:val="00355CDC"/>
    <w:pPr>
      <w:ind w:left="720"/>
      <w:contextualSpacing/>
    </w:pPr>
  </w:style>
  <w:style w:type="character" w:styleId="IntenseEmphasis">
    <w:name w:val="Intense Emphasis"/>
    <w:basedOn w:val="DefaultParagraphFont"/>
    <w:uiPriority w:val="21"/>
    <w:qFormat/>
    <w:rsid w:val="00355CDC"/>
    <w:rPr>
      <w:i/>
      <w:iCs/>
      <w:color w:val="0F4761" w:themeColor="accent1" w:themeShade="BF"/>
    </w:rPr>
  </w:style>
  <w:style w:type="paragraph" w:styleId="IntenseQuote">
    <w:name w:val="Intense Quote"/>
    <w:basedOn w:val="Normal"/>
    <w:next w:val="Normal"/>
    <w:link w:val="IntenseQuoteChar"/>
    <w:uiPriority w:val="30"/>
    <w:qFormat/>
    <w:rsid w:val="00355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CDC"/>
    <w:rPr>
      <w:i/>
      <w:iCs/>
      <w:color w:val="0F4761" w:themeColor="accent1" w:themeShade="BF"/>
    </w:rPr>
  </w:style>
  <w:style w:type="character" w:styleId="IntenseReference">
    <w:name w:val="Intense Reference"/>
    <w:basedOn w:val="DefaultParagraphFont"/>
    <w:uiPriority w:val="32"/>
    <w:qFormat/>
    <w:rsid w:val="00355CDC"/>
    <w:rPr>
      <w:b/>
      <w:bCs/>
      <w:smallCaps/>
      <w:color w:val="0F4761" w:themeColor="accent1" w:themeShade="BF"/>
      <w:spacing w:val="5"/>
    </w:rPr>
  </w:style>
  <w:style w:type="paragraph" w:styleId="FootnoteText">
    <w:name w:val="footnote text"/>
    <w:basedOn w:val="Normal"/>
    <w:link w:val="FootnoteTextChar"/>
    <w:uiPriority w:val="99"/>
    <w:semiHidden/>
    <w:unhideWhenUsed/>
    <w:rsid w:val="00355CDC"/>
    <w:rPr>
      <w:rFonts w:eastAsiaTheme="minorHAnsi"/>
      <w:sz w:val="20"/>
      <w:szCs w:val="20"/>
    </w:rPr>
  </w:style>
  <w:style w:type="character" w:customStyle="1" w:styleId="FootnoteTextChar">
    <w:name w:val="Footnote Text Char"/>
    <w:basedOn w:val="DefaultParagraphFont"/>
    <w:link w:val="FootnoteText"/>
    <w:uiPriority w:val="99"/>
    <w:semiHidden/>
    <w:rsid w:val="00355CDC"/>
    <w:rPr>
      <w:rFonts w:eastAsiaTheme="minorHAnsi"/>
      <w:sz w:val="20"/>
      <w:szCs w:val="20"/>
    </w:rPr>
  </w:style>
  <w:style w:type="character" w:styleId="FootnoteReference">
    <w:name w:val="footnote reference"/>
    <w:basedOn w:val="DefaultParagraphFont"/>
    <w:uiPriority w:val="99"/>
    <w:semiHidden/>
    <w:unhideWhenUsed/>
    <w:rsid w:val="00355CDC"/>
    <w:rPr>
      <w:vertAlign w:val="superscript"/>
    </w:rPr>
  </w:style>
  <w:style w:type="character" w:styleId="Hyperlink">
    <w:name w:val="Hyperlink"/>
    <w:basedOn w:val="DefaultParagraphFont"/>
    <w:uiPriority w:val="99"/>
    <w:unhideWhenUsed/>
    <w:rsid w:val="00355C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penningtonslaw.com/news-publications/latest-news/2024/generative-ai-in-the-courts-getty-images-v-stability-ai" TargetMode="External"/><Relationship Id="rId3" Type="http://schemas.openxmlformats.org/officeDocument/2006/relationships/hyperlink" Target="https://www.gov.uk/government/consultations/artificial-intelligence-and-ip-copyright-and-patents/outcome/artificial-intelligence-and-intellectual-property-copyright-and-patents-government-response-to-consultation" TargetMode="External"/><Relationship Id="rId7" Type="http://schemas.openxmlformats.org/officeDocument/2006/relationships/hyperlink" Target="https://www.pinsentmasons.com/out-law/analysis/getty-images-v-stability-ai-implications-copyright-law-licensing" TargetMode="External"/><Relationship Id="rId2" Type="http://schemas.openxmlformats.org/officeDocument/2006/relationships/hyperlink" Target="https://www.thebookseller.com/news/uk-ip-watchdog-inundated-with-responses-to-its-copyright-consultation-as-lbf-turns-its-focus-to-ai?utm_source=chatgpt.com" TargetMode="External"/><Relationship Id="rId1" Type="http://schemas.openxmlformats.org/officeDocument/2006/relationships/hyperlink" Target="https://assets.publishing.service.gov.uk/media/614db4d1e90e077a2cbdf3c4/National_AI_Strategy_-_PDF_version.pdf" TargetMode="External"/><Relationship Id="rId6" Type="http://schemas.openxmlformats.org/officeDocument/2006/relationships/hyperlink" Target="https://www.judiciary.uk/wp-content/uploads/2025/01/Getty-Images-and-others-v-Stability-AI-14.01.25.pdf" TargetMode="External"/><Relationship Id="rId5" Type="http://schemas.openxmlformats.org/officeDocument/2006/relationships/hyperlink" Target="https://www.gov.uk/government/consultations/artificial-intelligence-and-ip-copyright-and-patents/outcome/artificial-intelligence-and-intellectual-property-copyright-and-patents-government-response-to-consultation" TargetMode="External"/><Relationship Id="rId10" Type="http://schemas.openxmlformats.org/officeDocument/2006/relationships/hyperlink" Target="https://www.hoganlovells.com/en/publications/artificial-intelligence-and-ip-uk-ipo-consults-a-second-time" TargetMode="External"/><Relationship Id="rId4" Type="http://schemas.openxmlformats.org/officeDocument/2006/relationships/hyperlink" Target="https://www.lewissilkin.com/insights/2024/12/17/uk-government-consultation-copyright-ai-and-the-proposed-opt-out-model-102jrlu" TargetMode="External"/><Relationship Id="rId9" Type="http://schemas.openxmlformats.org/officeDocument/2006/relationships/hyperlink" Target="https://www.supremecourt.uk/cases/uksc-2021-02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1293</Words>
  <Characters>7376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Barker</dc:creator>
  <cp:keywords/>
  <dc:description/>
  <cp:lastModifiedBy>Kim Barker</cp:lastModifiedBy>
  <cp:revision>2</cp:revision>
  <dcterms:created xsi:type="dcterms:W3CDTF">2025-06-06T11:38:00Z</dcterms:created>
  <dcterms:modified xsi:type="dcterms:W3CDTF">2025-06-06T11:42:00Z</dcterms:modified>
</cp:coreProperties>
</file>