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B5F13" w14:textId="34C72451" w:rsidR="00B65804" w:rsidRDefault="0063520A" w:rsidP="0063520A">
      <w:pPr>
        <w:jc w:val="center"/>
        <w:rPr>
          <w:rFonts w:ascii="Zawgyi-One" w:hAnsi="Zawgyi-One" w:cs="Zawgyi-One"/>
          <w:b/>
          <w:bCs/>
          <w:sz w:val="18"/>
          <w:szCs w:val="18"/>
        </w:rPr>
      </w:pPr>
      <w:r w:rsidRPr="00582DF6">
        <w:rPr>
          <w:rFonts w:ascii="Zawgyi-One" w:hAnsi="Zawgyi-One" w:cs="Zawgyi-One"/>
          <w:b/>
          <w:bCs/>
          <w:sz w:val="18"/>
          <w:szCs w:val="18"/>
        </w:rPr>
        <w:t>TIDE KNOWLEDGE CASCADING TEMPLATE (For Support Staff)</w:t>
      </w:r>
    </w:p>
    <w:p w14:paraId="56C90C3E" w14:textId="264419D7" w:rsidR="00582DF6" w:rsidRPr="00582DF6" w:rsidRDefault="00582DF6" w:rsidP="00582DF6">
      <w:pPr>
        <w:jc w:val="center"/>
        <w:rPr>
          <w:rFonts w:ascii="Zawgyi-One" w:hAnsi="Zawgyi-One" w:cs="Zawgyi-One"/>
          <w:b/>
          <w:bCs/>
          <w:sz w:val="18"/>
          <w:szCs w:val="18"/>
          <w:lang w:val="en-US"/>
        </w:rPr>
      </w:pPr>
      <w:r>
        <w:rPr>
          <w:rFonts w:ascii="Zawgyi-One" w:hAnsi="Zawgyi-One" w:cs="Zawgyi-One"/>
          <w:b/>
          <w:bCs/>
          <w:sz w:val="18"/>
          <w:szCs w:val="18"/>
          <w:lang w:val="en-US"/>
        </w:rPr>
        <w:t xml:space="preserve">TIDE </w:t>
      </w:r>
      <w:proofErr w:type="spellStart"/>
      <w:r>
        <w:rPr>
          <w:rFonts w:ascii="Zawgyi-One" w:hAnsi="Zawgyi-One" w:cs="Zawgyi-One"/>
          <w:b/>
          <w:bCs/>
          <w:sz w:val="18"/>
          <w:szCs w:val="18"/>
          <w:lang w:val="en-US"/>
        </w:rPr>
        <w:t>ဗဟုသုတမ</w:t>
      </w:r>
      <w:proofErr w:type="spellEnd"/>
      <w:r>
        <w:rPr>
          <w:rFonts w:ascii="Zawgyi-One" w:hAnsi="Zawgyi-One" w:cs="Zawgyi-One"/>
          <w:b/>
          <w:bCs/>
          <w:sz w:val="18"/>
          <w:szCs w:val="18"/>
          <w:lang w:val="en-US"/>
        </w:rPr>
        <w:t xml:space="preserve">ွ်ေ၀မႈဆိုင္ရာ </w:t>
      </w:r>
      <w:proofErr w:type="spellStart"/>
      <w:r>
        <w:rPr>
          <w:rFonts w:ascii="Zawgyi-One" w:hAnsi="Zawgyi-One" w:cs="Zawgyi-One"/>
          <w:b/>
          <w:bCs/>
          <w:sz w:val="18"/>
          <w:szCs w:val="18"/>
          <w:lang w:val="en-US"/>
        </w:rPr>
        <w:t>ေဖာင္ပံုစံ</w:t>
      </w:r>
      <w:proofErr w:type="spellEnd"/>
      <w:r>
        <w:rPr>
          <w:rFonts w:ascii="Zawgyi-One" w:hAnsi="Zawgyi-One" w:cs="Zawgyi-One"/>
          <w:b/>
          <w:bCs/>
          <w:sz w:val="18"/>
          <w:szCs w:val="18"/>
          <w:lang w:val="en-US"/>
        </w:rPr>
        <w:t xml:space="preserve"> (ေထာက္ကူ၀န္ထမ္းမ်ားအတြက္ </w:t>
      </w:r>
      <w:proofErr w:type="spellStart"/>
      <w:r>
        <w:rPr>
          <w:rFonts w:ascii="Zawgyi-One" w:hAnsi="Zawgyi-One" w:cs="Zawgyi-One"/>
          <w:b/>
          <w:bCs/>
          <w:sz w:val="18"/>
          <w:szCs w:val="18"/>
          <w:lang w:val="en-US"/>
        </w:rPr>
        <w:t>သံုးရန</w:t>
      </w:r>
      <w:proofErr w:type="spellEnd"/>
      <w:r>
        <w:rPr>
          <w:rFonts w:ascii="Zawgyi-One" w:hAnsi="Zawgyi-One" w:cs="Zawgyi-One"/>
          <w:b/>
          <w:bCs/>
          <w:sz w:val="18"/>
          <w:szCs w:val="18"/>
          <w:lang w:val="en-US"/>
        </w:rPr>
        <w:t>္)</w:t>
      </w:r>
    </w:p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474"/>
        <w:gridCol w:w="2984"/>
        <w:gridCol w:w="3374"/>
        <w:gridCol w:w="3290"/>
        <w:gridCol w:w="2904"/>
      </w:tblGrid>
      <w:tr w:rsidR="0063520A" w:rsidRPr="00582DF6" w14:paraId="3B2AAB05" w14:textId="77777777" w:rsidTr="0063520A">
        <w:tc>
          <w:tcPr>
            <w:tcW w:w="3005" w:type="dxa"/>
            <w:shd w:val="clear" w:color="auto" w:fill="E7E6E6" w:themeFill="background2"/>
          </w:tcPr>
          <w:p w14:paraId="2AFD6785" w14:textId="0CD85357" w:rsidR="0063520A" w:rsidRPr="00582DF6" w:rsidRDefault="00582DF6" w:rsidP="0063520A">
            <w:pPr>
              <w:jc w:val="center"/>
              <w:rPr>
                <w:rFonts w:ascii="Zawgyi-One" w:hAnsi="Zawgyi-One" w:cs="Zawgyi-One"/>
                <w:sz w:val="18"/>
                <w:szCs w:val="18"/>
              </w:rPr>
            </w:pPr>
            <w:proofErr w:type="spellStart"/>
            <w:r>
              <w:rPr>
                <w:rFonts w:ascii="Zawgyi-One" w:hAnsi="Zawgyi-One" w:cs="Zawgyi-One"/>
                <w:sz w:val="18"/>
                <w:szCs w:val="18"/>
              </w:rPr>
              <w:t>ပရိသတ</w:t>
            </w:r>
            <w:proofErr w:type="spellEnd"/>
            <w:r>
              <w:rPr>
                <w:rFonts w:ascii="Zawgyi-One" w:hAnsi="Zawgyi-One" w:cs="Zawgyi-One"/>
                <w:sz w:val="18"/>
                <w:szCs w:val="18"/>
              </w:rPr>
              <w:t>္</w:t>
            </w:r>
          </w:p>
        </w:tc>
        <w:tc>
          <w:tcPr>
            <w:tcW w:w="3005" w:type="dxa"/>
            <w:shd w:val="clear" w:color="auto" w:fill="E7E6E6" w:themeFill="background2"/>
          </w:tcPr>
          <w:p w14:paraId="56792631" w14:textId="7FACB6B0" w:rsidR="0063520A" w:rsidRPr="00582DF6" w:rsidRDefault="00582DF6" w:rsidP="0063520A">
            <w:pPr>
              <w:jc w:val="center"/>
              <w:rPr>
                <w:rFonts w:ascii="Zawgyi-One" w:hAnsi="Zawgyi-One" w:cs="Zawgyi-One"/>
                <w:sz w:val="18"/>
                <w:szCs w:val="18"/>
              </w:rPr>
            </w:pPr>
            <w:proofErr w:type="spellStart"/>
            <w:r>
              <w:rPr>
                <w:rFonts w:ascii="Zawgyi-One" w:hAnsi="Zawgyi-One" w:cs="Zawgyi-One"/>
                <w:sz w:val="18"/>
                <w:szCs w:val="18"/>
              </w:rPr>
              <w:t>ဤမ</w:t>
            </w:r>
            <w:proofErr w:type="spellEnd"/>
            <w:r>
              <w:rPr>
                <w:rFonts w:ascii="Zawgyi-One" w:hAnsi="Zawgyi-One" w:cs="Zawgyi-One"/>
                <w:sz w:val="18"/>
                <w:szCs w:val="18"/>
              </w:rPr>
              <w:t xml:space="preserve">ွ်ေ၀မႈမွ </w:t>
            </w:r>
            <w:proofErr w:type="spellStart"/>
            <w:r>
              <w:rPr>
                <w:rFonts w:ascii="Zawgyi-One" w:hAnsi="Zawgyi-One" w:cs="Zawgyi-One"/>
                <w:sz w:val="18"/>
                <w:szCs w:val="18"/>
              </w:rPr>
              <w:t>ရရွိရန္ရည္ရြယ္သည</w:t>
            </w:r>
            <w:proofErr w:type="spellEnd"/>
            <w:r>
              <w:rPr>
                <w:rFonts w:ascii="Zawgyi-One" w:hAnsi="Zawgyi-One" w:cs="Zawgyi-One"/>
                <w:sz w:val="18"/>
                <w:szCs w:val="18"/>
              </w:rPr>
              <w:t xml:space="preserve">့္ </w:t>
            </w:r>
            <w:proofErr w:type="spellStart"/>
            <w:r>
              <w:rPr>
                <w:rFonts w:ascii="Zawgyi-One" w:hAnsi="Zawgyi-One" w:cs="Zawgyi-One"/>
                <w:sz w:val="18"/>
                <w:szCs w:val="18"/>
              </w:rPr>
              <w:t>ရလဒ</w:t>
            </w:r>
            <w:proofErr w:type="spellEnd"/>
            <w:r>
              <w:rPr>
                <w:rFonts w:ascii="Zawgyi-One" w:hAnsi="Zawgyi-One" w:cs="Zawgyi-One"/>
                <w:sz w:val="18"/>
                <w:szCs w:val="18"/>
              </w:rPr>
              <w:t>္</w:t>
            </w:r>
          </w:p>
        </w:tc>
        <w:tc>
          <w:tcPr>
            <w:tcW w:w="3005" w:type="dxa"/>
            <w:shd w:val="clear" w:color="auto" w:fill="E7E6E6" w:themeFill="background2"/>
          </w:tcPr>
          <w:p w14:paraId="00BB0D95" w14:textId="1C497280" w:rsidR="0063520A" w:rsidRPr="00582DF6" w:rsidRDefault="00582DF6" w:rsidP="0063520A">
            <w:pPr>
              <w:jc w:val="center"/>
              <w:rPr>
                <w:rFonts w:ascii="Zawgyi-One" w:hAnsi="Zawgyi-One" w:cs="Zawgyi-One"/>
                <w:sz w:val="18"/>
                <w:szCs w:val="18"/>
              </w:rPr>
            </w:pPr>
            <w:proofErr w:type="spellStart"/>
            <w:r>
              <w:rPr>
                <w:rFonts w:ascii="Zawgyi-One" w:hAnsi="Zawgyi-One" w:cs="Zawgyi-One"/>
                <w:sz w:val="18"/>
                <w:szCs w:val="18"/>
              </w:rPr>
              <w:t>ပို႔ခ်မည</w:t>
            </w:r>
            <w:proofErr w:type="spellEnd"/>
            <w:r>
              <w:rPr>
                <w:rFonts w:ascii="Zawgyi-One" w:hAnsi="Zawgyi-One" w:cs="Zawgyi-One"/>
                <w:sz w:val="18"/>
                <w:szCs w:val="18"/>
              </w:rPr>
              <w:t xml:space="preserve">့္ </w:t>
            </w:r>
            <w:proofErr w:type="spellStart"/>
            <w:r>
              <w:rPr>
                <w:rFonts w:ascii="Zawgyi-One" w:hAnsi="Zawgyi-One" w:cs="Zawgyi-One"/>
                <w:sz w:val="18"/>
                <w:szCs w:val="18"/>
              </w:rPr>
              <w:t>အေၾကာင္းအရာမ်ား</w:t>
            </w:r>
            <w:proofErr w:type="spellEnd"/>
          </w:p>
        </w:tc>
        <w:tc>
          <w:tcPr>
            <w:tcW w:w="3005" w:type="dxa"/>
            <w:shd w:val="clear" w:color="auto" w:fill="E7E6E6" w:themeFill="background2"/>
          </w:tcPr>
          <w:p w14:paraId="2304B033" w14:textId="4AFE8B52" w:rsidR="0063520A" w:rsidRPr="00582DF6" w:rsidRDefault="0063520A" w:rsidP="0063520A">
            <w:pPr>
              <w:jc w:val="center"/>
              <w:rPr>
                <w:rFonts w:ascii="Zawgyi-One" w:hAnsi="Zawgyi-One" w:cs="Zawgyi-One"/>
                <w:sz w:val="18"/>
                <w:szCs w:val="18"/>
              </w:rPr>
            </w:pPr>
            <w:r w:rsidRPr="00582DF6">
              <w:rPr>
                <w:rFonts w:ascii="Zawgyi-One" w:hAnsi="Zawgyi-One" w:cs="Zawgyi-One"/>
                <w:sz w:val="18"/>
                <w:szCs w:val="18"/>
              </w:rPr>
              <w:t>TIDE E-Resources</w:t>
            </w:r>
            <w:r w:rsidR="00582DF6">
              <w:rPr>
                <w:rFonts w:ascii="Zawgyi-One" w:hAnsi="Zawgyi-One" w:cs="Zawgyi-One"/>
                <w:sz w:val="18"/>
                <w:szCs w:val="18"/>
              </w:rPr>
              <w:t xml:space="preserve"> </w:t>
            </w:r>
            <w:proofErr w:type="spellStart"/>
            <w:r w:rsidR="00582DF6">
              <w:rPr>
                <w:rFonts w:ascii="Zawgyi-One" w:hAnsi="Zawgyi-One" w:cs="Zawgyi-One"/>
                <w:sz w:val="18"/>
                <w:szCs w:val="18"/>
              </w:rPr>
              <w:t>မ်ား</w:t>
            </w:r>
            <w:proofErr w:type="spellEnd"/>
          </w:p>
        </w:tc>
        <w:tc>
          <w:tcPr>
            <w:tcW w:w="3006" w:type="dxa"/>
            <w:shd w:val="clear" w:color="auto" w:fill="E7E6E6" w:themeFill="background2"/>
          </w:tcPr>
          <w:p w14:paraId="05E8484F" w14:textId="126FA910" w:rsidR="0063520A" w:rsidRPr="00582DF6" w:rsidRDefault="00582DF6" w:rsidP="0063520A">
            <w:pPr>
              <w:jc w:val="center"/>
              <w:rPr>
                <w:rFonts w:ascii="Zawgyi-One" w:hAnsi="Zawgyi-One" w:cs="Zawgyi-One"/>
                <w:sz w:val="18"/>
                <w:szCs w:val="18"/>
              </w:rPr>
            </w:pPr>
            <w:proofErr w:type="spellStart"/>
            <w:r>
              <w:rPr>
                <w:rFonts w:ascii="Zawgyi-One" w:hAnsi="Zawgyi-One" w:cs="Zawgyi-One"/>
                <w:sz w:val="18"/>
                <w:szCs w:val="18"/>
              </w:rPr>
              <w:t>သံုးသပ္စစ္ေဆးမည</w:t>
            </w:r>
            <w:proofErr w:type="spellEnd"/>
            <w:r>
              <w:rPr>
                <w:rFonts w:ascii="Zawgyi-One" w:hAnsi="Zawgyi-One" w:cs="Zawgyi-One"/>
                <w:sz w:val="18"/>
                <w:szCs w:val="18"/>
              </w:rPr>
              <w:t>့္</w:t>
            </w:r>
            <w:proofErr w:type="spellStart"/>
            <w:r>
              <w:rPr>
                <w:rFonts w:ascii="Zawgyi-One" w:hAnsi="Zawgyi-One" w:cs="Zawgyi-One"/>
                <w:sz w:val="18"/>
                <w:szCs w:val="18"/>
              </w:rPr>
              <w:t>အစီအစဥ</w:t>
            </w:r>
            <w:proofErr w:type="spellEnd"/>
            <w:r>
              <w:rPr>
                <w:rFonts w:ascii="Zawgyi-One" w:hAnsi="Zawgyi-One" w:cs="Zawgyi-One"/>
                <w:sz w:val="18"/>
                <w:szCs w:val="18"/>
              </w:rPr>
              <w:t>္</w:t>
            </w:r>
          </w:p>
        </w:tc>
      </w:tr>
      <w:tr w:rsidR="0063520A" w:rsidRPr="00582DF6" w14:paraId="1F15C606" w14:textId="77777777" w:rsidTr="0063520A">
        <w:tc>
          <w:tcPr>
            <w:tcW w:w="3005" w:type="dxa"/>
          </w:tcPr>
          <w:p w14:paraId="3ED1FCF2" w14:textId="77777777" w:rsidR="00582DF6" w:rsidRPr="00582DF6" w:rsidRDefault="00582DF6" w:rsidP="00582DF6">
            <w:pPr>
              <w:rPr>
                <w:rFonts w:ascii="Zawgyi-One" w:hAnsi="Zawgyi-One" w:cs="Zawgyi-One"/>
                <w:color w:val="FF0000"/>
                <w:sz w:val="18"/>
                <w:szCs w:val="18"/>
              </w:rPr>
            </w:pP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အႀကီးတန္းစီမံခန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႔္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ခြဲမႈအဖြဲ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႕</w:t>
            </w:r>
          </w:p>
          <w:p w14:paraId="6EEFB65E" w14:textId="22B8F41E" w:rsidR="0063520A" w:rsidRPr="00582DF6" w:rsidRDefault="00582DF6" w:rsidP="00582DF6">
            <w:pPr>
              <w:rPr>
                <w:rFonts w:ascii="Zawgyi-One" w:hAnsi="Zawgyi-One" w:cs="Zawgyi-One"/>
                <w:color w:val="FF0000"/>
                <w:sz w:val="18"/>
                <w:szCs w:val="18"/>
              </w:rPr>
            </w:pPr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>(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ဥပမာ</w:t>
            </w:r>
            <w:proofErr w:type="spellEnd"/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) </w:t>
            </w:r>
          </w:p>
        </w:tc>
        <w:tc>
          <w:tcPr>
            <w:tcW w:w="3005" w:type="dxa"/>
          </w:tcPr>
          <w:p w14:paraId="7D342AAE" w14:textId="787235D7" w:rsidR="0063520A" w:rsidRPr="00582DF6" w:rsidRDefault="00582DF6">
            <w:pPr>
              <w:rPr>
                <w:rFonts w:ascii="Zawgyi-One" w:hAnsi="Zawgyi-One" w:cs="Zawgyi-One"/>
                <w:color w:val="FF0000"/>
                <w:sz w:val="18"/>
                <w:szCs w:val="18"/>
              </w:rPr>
            </w:pP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ပါေမာကၡခ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်ဳပ္၊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ဒုတိယပါေမာကၡခ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်ဳပ္</w:t>
            </w:r>
            <w:r>
              <w:rPr>
                <w:rFonts w:ascii="Zawgyi-One" w:hAnsi="Zawgyi-One" w:cs="Zawgyi-One"/>
                <w:color w:val="FF0000"/>
                <w:sz w:val="18"/>
                <w:szCs w:val="18"/>
              </w:rPr>
              <w:t>ႏ</w:t>
            </w:r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ွင့္</w:t>
            </w:r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ပညာေရး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ႏွင့္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အုပ္ခ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်ဳ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ပ္ေရးဌာန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၏</w:t>
            </w:r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အႀကီးအကဲမ်ားသည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</w:t>
            </w:r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ၿ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ပီးခဲ့သည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့္</w:t>
            </w:r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Residential School 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တြင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</w:t>
            </w:r>
            <w:r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၀န္ထမ္းမ်ား</w:t>
            </w:r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>ေ</w:t>
            </w:r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လ့လာသိရွိ</w:t>
            </w:r>
            <w:r>
              <w:rPr>
                <w:rFonts w:ascii="Zawgyi-One" w:hAnsi="Zawgyi-One" w:cs="Zawgyi-One"/>
                <w:color w:val="FF0000"/>
                <w:sz w:val="18"/>
                <w:szCs w:val="18"/>
              </w:rPr>
              <w:t>ခဲ့သည္</w:t>
            </w:r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မ်ားကို</w:t>
            </w:r>
            <w:proofErr w:type="spellEnd"/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ရွင္းလင္းစြာ</w:t>
            </w:r>
            <w:proofErr w:type="spellEnd"/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နားလည္သြားမည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္။</w:t>
            </w:r>
          </w:p>
        </w:tc>
        <w:tc>
          <w:tcPr>
            <w:tcW w:w="3005" w:type="dxa"/>
          </w:tcPr>
          <w:p w14:paraId="6BA2722F" w14:textId="77777777" w:rsidR="00582DF6" w:rsidRPr="00582DF6" w:rsidRDefault="00582DF6" w:rsidP="00582DF6">
            <w:pPr>
              <w:rPr>
                <w:rFonts w:ascii="Zawgyi-One" w:hAnsi="Zawgyi-One" w:cs="Zawgyi-One"/>
                <w:color w:val="FF0000"/>
                <w:sz w:val="18"/>
                <w:szCs w:val="18"/>
              </w:rPr>
            </w:pP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အစီအစဥ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</w:t>
            </w:r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ၿ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ခဳံငုံသုံးသပ္ခ်က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္။</w:t>
            </w:r>
          </w:p>
          <w:p w14:paraId="52036637" w14:textId="77777777" w:rsidR="00582DF6" w:rsidRPr="00582DF6" w:rsidRDefault="00582DF6" w:rsidP="00582DF6">
            <w:pPr>
              <w:rPr>
                <w:rFonts w:ascii="Zawgyi-One" w:hAnsi="Zawgyi-One" w:cs="Zawgyi-One"/>
                <w:color w:val="FF0000"/>
                <w:sz w:val="18"/>
                <w:szCs w:val="18"/>
              </w:rPr>
            </w:pP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သင္ယူျခင္း</w:t>
            </w:r>
            <w:proofErr w:type="spellEnd"/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အဓိကေနရာမ်ား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။</w:t>
            </w:r>
          </w:p>
          <w:p w14:paraId="6775309B" w14:textId="51624CEF" w:rsidR="00582DF6" w:rsidRPr="00582DF6" w:rsidRDefault="00582DF6" w:rsidP="00582DF6">
            <w:pPr>
              <w:rPr>
                <w:rFonts w:ascii="Zawgyi-One" w:hAnsi="Zawgyi-One" w:cs="Zawgyi-One"/>
                <w:color w:val="FF0000"/>
                <w:sz w:val="18"/>
                <w:szCs w:val="18"/>
              </w:rPr>
            </w:pP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ဤေလ့လာသင္ယူမႈကိုလက္ေတ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ြ႕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တြင္မည္သို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႔</w:t>
            </w:r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အေကာင္းဆုံး</w:t>
            </w:r>
            <w:proofErr w:type="spellEnd"/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Zawgyi-One" w:hAnsi="Zawgyi-One" w:cs="Zawgyi-One"/>
                <w:color w:val="FF0000"/>
                <w:sz w:val="18"/>
                <w:szCs w:val="18"/>
              </w:rPr>
              <w:t>အ</w:t>
            </w:r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သုံးျပ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ဳႏ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ိုင္မည္နည္း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။</w:t>
            </w:r>
          </w:p>
          <w:p w14:paraId="55566333" w14:textId="15D6A857" w:rsidR="0063520A" w:rsidRPr="00582DF6" w:rsidRDefault="00582DF6" w:rsidP="00582DF6">
            <w:pPr>
              <w:rPr>
                <w:rFonts w:ascii="Zawgyi-One" w:hAnsi="Zawgyi-One" w:cs="Zawgyi-One"/>
                <w:color w:val="FF0000"/>
                <w:sz w:val="18"/>
                <w:szCs w:val="18"/>
              </w:rPr>
            </w:pP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အႀကီးတန္းအဆင</w:t>
            </w:r>
            <w:proofErr w:type="spellEnd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့္</w:t>
            </w:r>
            <w:r w:rsidRPr="00582DF6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82DF6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မူဝါဒသက္ေရာက္မႈမ်ား</w:t>
            </w:r>
            <w:proofErr w:type="spellEnd"/>
          </w:p>
        </w:tc>
        <w:tc>
          <w:tcPr>
            <w:tcW w:w="3005" w:type="dxa"/>
          </w:tcPr>
          <w:p w14:paraId="6E287D75" w14:textId="586B2719" w:rsidR="0063520A" w:rsidRPr="00582DF6" w:rsidRDefault="00460894">
            <w:pPr>
              <w:rPr>
                <w:rFonts w:ascii="Zawgyi-One" w:hAnsi="Zawgyi-One" w:cs="Zawgyi-One"/>
                <w:color w:val="FF0000"/>
                <w:sz w:val="18"/>
                <w:szCs w:val="18"/>
              </w:rPr>
            </w:pPr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ျ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မန္မာဘာသာစကားျဖင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့္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ၿ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ခဳံငုံသုံးသပ္ခ်က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ppt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တင္ဆက္မႈကိုဖန္တီးရန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>e</w:t>
            </w:r>
            <w:r>
              <w:rPr>
                <w:rFonts w:ascii="Zawgyi-One" w:hAnsi="Zawgyi-One" w:cs="Zawgyi-One"/>
                <w:color w:val="FF0000"/>
                <w:sz w:val="18"/>
                <w:szCs w:val="18"/>
              </w:rPr>
              <w:t>-ရင္းျမစ္ကို</w:t>
            </w:r>
            <w:proofErr w:type="spellEnd"/>
            <w:r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 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>ျ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ပင္ဆင္ပ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ါ။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အႀကီးတန္းစီမံခန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္႔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ခြဲသူမ်ား</w:t>
            </w:r>
            <w:proofErr w:type="spellEnd"/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နားလည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္ႏ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ုိင္ရန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မိနစ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၂၀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ထက္မပိုေသာ</w:t>
            </w:r>
            <w:proofErr w:type="spellEnd"/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တင္ဆက္မ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ႈျ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ဖစ္ရန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လိုအပ္သည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္။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ထို႔ေနာက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အက်ဥ္းခ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်ဳ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ပ္လက္ကမ္းစာေစာင္ထုတ္လုပ္ပ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ါ။</w:t>
            </w:r>
          </w:p>
        </w:tc>
        <w:tc>
          <w:tcPr>
            <w:tcW w:w="3006" w:type="dxa"/>
          </w:tcPr>
          <w:p w14:paraId="2261DADB" w14:textId="06E0801F" w:rsidR="0063520A" w:rsidRPr="00582DF6" w:rsidRDefault="00460894" w:rsidP="00460894">
            <w:pPr>
              <w:rPr>
                <w:rFonts w:ascii="Zawgyi-One" w:hAnsi="Zawgyi-One" w:cs="Zawgyi-One"/>
                <w:color w:val="FF0000"/>
                <w:sz w:val="18"/>
                <w:szCs w:val="18"/>
              </w:rPr>
            </w:pP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နားေထာင္သူတို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႔၏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တုံ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႔ျ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ပန္ခ်က္ကို</w:t>
            </w:r>
            <w:proofErr w:type="spellEnd"/>
            <w:r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ရရွိရန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အဓိကေမးခြန္းမ်ား</w:t>
            </w:r>
            <w:proofErr w:type="spellEnd"/>
            <w:r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ပါ၀င္</w:t>
            </w:r>
            <w:r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ေသာ</w:t>
            </w:r>
            <w:proofErr w:type="spellEnd"/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>ေ</w:t>
            </w:r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နာက္ဆုံးဆလိုက္တင</w:t>
            </w:r>
            <w:proofErr w:type="spellEnd"/>
            <w:r>
              <w:rPr>
                <w:rFonts w:ascii="Zawgyi-One" w:hAnsi="Zawgyi-One" w:cs="Zawgyi-One"/>
                <w:color w:val="FF0000"/>
                <w:sz w:val="18"/>
                <w:szCs w:val="18"/>
              </w:rPr>
              <w:t>္</w:t>
            </w:r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ျ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ပခ်က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တစ္ခုကို</w:t>
            </w:r>
            <w:proofErr w:type="spellEnd"/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ထုတ္လုပ္ပ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ါ။</w:t>
            </w:r>
            <w:r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ေတာင္းဆိုထား</w:t>
            </w:r>
            <w:proofErr w:type="spellEnd"/>
            <w:r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ေသာ</w:t>
            </w:r>
            <w:proofErr w:type="spellEnd"/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လုပ္ေဆာင္မႈမ်ားကိုလုပ္ေဆာင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</w:t>
            </w:r>
            <w:r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 ျ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ခင္း</w:t>
            </w:r>
            <w:proofErr w:type="spellEnd"/>
            <w:r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ရွိမရွိ</w:t>
            </w:r>
            <w:proofErr w:type="spellEnd"/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၂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ပတ္အၾကာတြင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ျ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ပန္လည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္</w:t>
            </w:r>
            <w:r w:rsidRPr="00460894">
              <w:rPr>
                <w:rFonts w:ascii="Zawgyi-One" w:hAnsi="Zawgyi-One" w:cs="Zawgyi-One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စစ္ေဆးပ</w:t>
            </w:r>
            <w:proofErr w:type="spellEnd"/>
            <w:r w:rsidRPr="00460894">
              <w:rPr>
                <w:rFonts w:ascii="Zawgyi-One" w:hAnsi="Zawgyi-One" w:cs="Zawgyi-One" w:hint="cs"/>
                <w:color w:val="FF0000"/>
                <w:sz w:val="18"/>
                <w:szCs w:val="18"/>
              </w:rPr>
              <w:t>ါ။</w:t>
            </w:r>
          </w:p>
        </w:tc>
      </w:tr>
      <w:tr w:rsidR="0063520A" w:rsidRPr="00582DF6" w14:paraId="458C5704" w14:textId="77777777" w:rsidTr="0063520A">
        <w:tc>
          <w:tcPr>
            <w:tcW w:w="3005" w:type="dxa"/>
          </w:tcPr>
          <w:p w14:paraId="215A8C14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5" w:type="dxa"/>
          </w:tcPr>
          <w:p w14:paraId="29BCA213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5" w:type="dxa"/>
          </w:tcPr>
          <w:p w14:paraId="4455B241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03E34E2C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607604D6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01A869A3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74B60260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03FE1697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44A27F54" w14:textId="058615C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5" w:type="dxa"/>
          </w:tcPr>
          <w:p w14:paraId="28FB9DD9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6" w:type="dxa"/>
          </w:tcPr>
          <w:p w14:paraId="30942037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70D6DFDC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6615B899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43C747A4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555DB733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57E349A0" w14:textId="4F1435B8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</w:tr>
      <w:tr w:rsidR="0063520A" w:rsidRPr="00582DF6" w14:paraId="7EA711EF" w14:textId="77777777" w:rsidTr="0063520A">
        <w:tc>
          <w:tcPr>
            <w:tcW w:w="3005" w:type="dxa"/>
          </w:tcPr>
          <w:p w14:paraId="5E4D81F3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5" w:type="dxa"/>
          </w:tcPr>
          <w:p w14:paraId="5E7F36FE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5" w:type="dxa"/>
          </w:tcPr>
          <w:p w14:paraId="5592162A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3FD580D4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55FBC01F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28B559DC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069F6784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05F3FDE4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516DA7CE" w14:textId="2C52F7AA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5" w:type="dxa"/>
          </w:tcPr>
          <w:p w14:paraId="76CB7B80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6" w:type="dxa"/>
          </w:tcPr>
          <w:p w14:paraId="6902263A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0C2A9B8C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1C12892B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3B211CA4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774DCC64" w14:textId="0E24F6EA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</w:tr>
      <w:tr w:rsidR="0063520A" w:rsidRPr="00582DF6" w14:paraId="1B7773D0" w14:textId="77777777" w:rsidTr="0063520A">
        <w:tc>
          <w:tcPr>
            <w:tcW w:w="3005" w:type="dxa"/>
          </w:tcPr>
          <w:p w14:paraId="6C9FFA35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5" w:type="dxa"/>
          </w:tcPr>
          <w:p w14:paraId="504EC5E4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5" w:type="dxa"/>
          </w:tcPr>
          <w:p w14:paraId="030BBA64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5FFDED10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60FC5B51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02BAE200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0CDDD342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790A9D02" w14:textId="34FE36E3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5" w:type="dxa"/>
          </w:tcPr>
          <w:p w14:paraId="2736461F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6" w:type="dxa"/>
          </w:tcPr>
          <w:p w14:paraId="465DE8C3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63BFC989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4CFD0550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20699707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682CD86B" w14:textId="21C1BC82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</w:tr>
      <w:tr w:rsidR="0063520A" w:rsidRPr="00582DF6" w14:paraId="73BACE03" w14:textId="77777777" w:rsidTr="0063520A">
        <w:tc>
          <w:tcPr>
            <w:tcW w:w="3005" w:type="dxa"/>
          </w:tcPr>
          <w:p w14:paraId="0CE437C4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5" w:type="dxa"/>
          </w:tcPr>
          <w:p w14:paraId="2A3C1D14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5" w:type="dxa"/>
          </w:tcPr>
          <w:p w14:paraId="1C6F6F64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79189F3A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0DB42AA5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21D0483E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42CA1901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5F34534E" w14:textId="4E703C6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5" w:type="dxa"/>
          </w:tcPr>
          <w:p w14:paraId="756CC105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  <w:tc>
          <w:tcPr>
            <w:tcW w:w="3006" w:type="dxa"/>
          </w:tcPr>
          <w:p w14:paraId="0C8122E0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60CDE921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75F9FE35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3DA81F5B" w14:textId="77777777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  <w:p w14:paraId="6835D1B4" w14:textId="129A1F1C" w:rsidR="0063520A" w:rsidRPr="00582DF6" w:rsidRDefault="0063520A">
            <w:pPr>
              <w:rPr>
                <w:rFonts w:ascii="Zawgyi-One" w:hAnsi="Zawgyi-One" w:cs="Zawgyi-One"/>
                <w:sz w:val="18"/>
                <w:szCs w:val="18"/>
              </w:rPr>
            </w:pPr>
          </w:p>
        </w:tc>
      </w:tr>
    </w:tbl>
    <w:p w14:paraId="3B5A7D67" w14:textId="77777777" w:rsidR="0063520A" w:rsidRPr="00582DF6" w:rsidRDefault="0063520A">
      <w:pPr>
        <w:rPr>
          <w:rFonts w:ascii="Zawgyi-One" w:hAnsi="Zawgyi-One" w:cs="Zawgyi-One"/>
          <w:sz w:val="18"/>
          <w:szCs w:val="18"/>
        </w:rPr>
      </w:pPr>
    </w:p>
    <w:sectPr w:rsidR="0063520A" w:rsidRPr="00582DF6" w:rsidSect="0063520A">
      <w:pgSz w:w="16838" w:h="11906" w:orient="landscape"/>
      <w:pgMar w:top="568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wgyi-One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0A"/>
    <w:rsid w:val="00302A22"/>
    <w:rsid w:val="00460894"/>
    <w:rsid w:val="00582DF6"/>
    <w:rsid w:val="0063520A"/>
    <w:rsid w:val="00B65804"/>
    <w:rsid w:val="00DB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326F"/>
  <w15:chartTrackingRefBased/>
  <w15:docId w15:val="{F5000BD0-A0BD-497A-B78F-03085FD0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Gregson</dc:creator>
  <cp:keywords/>
  <dc:description/>
  <cp:lastModifiedBy>myothidaswe@irrawaddypolicyexchange.org</cp:lastModifiedBy>
  <cp:revision>3</cp:revision>
  <dcterms:created xsi:type="dcterms:W3CDTF">2020-04-08T11:39:00Z</dcterms:created>
  <dcterms:modified xsi:type="dcterms:W3CDTF">2020-06-24T14:34:00Z</dcterms:modified>
</cp:coreProperties>
</file>