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901FE" w14:textId="77777777" w:rsidR="00284F0D" w:rsidRDefault="005413D7">
      <w:pPr>
        <w:pStyle w:val="Heading1"/>
      </w:pPr>
      <w:r>
        <w:t>TIDE Residential School Activity: Designing for Online Learners (2)</w:t>
      </w:r>
    </w:p>
    <w:p w14:paraId="3ABE39A0" w14:textId="77777777" w:rsidR="00284F0D" w:rsidRDefault="00284F0D"/>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284F0D" w14:paraId="4AB1E2AB" w14:textId="77777777">
        <w:tc>
          <w:tcPr>
            <w:tcW w:w="2263" w:type="dxa"/>
          </w:tcPr>
          <w:p w14:paraId="2EB58C7D" w14:textId="77777777" w:rsidR="00284F0D" w:rsidRDefault="005413D7">
            <w:r>
              <w:t>Tutor name</w:t>
            </w:r>
          </w:p>
        </w:tc>
        <w:tc>
          <w:tcPr>
            <w:tcW w:w="6753" w:type="dxa"/>
          </w:tcPr>
          <w:p w14:paraId="05DB5754" w14:textId="77777777" w:rsidR="00284F0D" w:rsidRDefault="00284F0D"/>
        </w:tc>
      </w:tr>
      <w:tr w:rsidR="00284F0D" w14:paraId="05A96E47" w14:textId="77777777">
        <w:tc>
          <w:tcPr>
            <w:tcW w:w="2263" w:type="dxa"/>
          </w:tcPr>
          <w:p w14:paraId="255199F5" w14:textId="77777777" w:rsidR="00284F0D" w:rsidRDefault="005413D7">
            <w:r>
              <w:t>Activity title</w:t>
            </w:r>
          </w:p>
        </w:tc>
        <w:tc>
          <w:tcPr>
            <w:tcW w:w="6753" w:type="dxa"/>
          </w:tcPr>
          <w:p w14:paraId="468C0BB1" w14:textId="77777777" w:rsidR="00284F0D" w:rsidRDefault="005413D7">
            <w:r>
              <w:t>Designing for online learners (2): Learning Outcomes</w:t>
            </w:r>
          </w:p>
        </w:tc>
      </w:tr>
      <w:tr w:rsidR="00284F0D" w14:paraId="79B38042" w14:textId="77777777">
        <w:tc>
          <w:tcPr>
            <w:tcW w:w="2263" w:type="dxa"/>
          </w:tcPr>
          <w:p w14:paraId="4FF85FA0" w14:textId="77777777" w:rsidR="00284F0D" w:rsidRDefault="005413D7">
            <w:r>
              <w:t>Total time needed for activity</w:t>
            </w:r>
          </w:p>
        </w:tc>
        <w:tc>
          <w:tcPr>
            <w:tcW w:w="6753" w:type="dxa"/>
          </w:tcPr>
          <w:p w14:paraId="0679620F" w14:textId="77777777" w:rsidR="00284F0D" w:rsidRDefault="005413D7">
            <w:r>
              <w:t>90 minutes</w:t>
            </w:r>
          </w:p>
        </w:tc>
      </w:tr>
      <w:tr w:rsidR="00284F0D" w14:paraId="3B7E12C0" w14:textId="77777777">
        <w:tc>
          <w:tcPr>
            <w:tcW w:w="2263" w:type="dxa"/>
          </w:tcPr>
          <w:p w14:paraId="764C679F" w14:textId="77777777" w:rsidR="00284F0D" w:rsidRDefault="005413D7">
            <w:r>
              <w:t>Resources required</w:t>
            </w:r>
          </w:p>
        </w:tc>
        <w:tc>
          <w:tcPr>
            <w:tcW w:w="6753" w:type="dxa"/>
          </w:tcPr>
          <w:p w14:paraId="6C304482" w14:textId="77777777" w:rsidR="00284F0D" w:rsidRDefault="005413D7">
            <w:pPr>
              <w:numPr>
                <w:ilvl w:val="0"/>
                <w:numId w:val="3"/>
              </w:numPr>
              <w:pBdr>
                <w:top w:val="nil"/>
                <w:left w:val="nil"/>
                <w:bottom w:val="nil"/>
                <w:right w:val="nil"/>
                <w:between w:val="nil"/>
              </w:pBdr>
              <w:spacing w:line="259" w:lineRule="auto"/>
            </w:pPr>
            <w:r>
              <w:rPr>
                <w:color w:val="000000"/>
              </w:rPr>
              <w:t>Slides on learning outcomes</w:t>
            </w:r>
          </w:p>
          <w:p w14:paraId="12C111E9" w14:textId="77777777" w:rsidR="00284F0D" w:rsidRDefault="005413D7">
            <w:pPr>
              <w:numPr>
                <w:ilvl w:val="0"/>
                <w:numId w:val="3"/>
              </w:numPr>
              <w:pBdr>
                <w:top w:val="nil"/>
                <w:left w:val="nil"/>
                <w:bottom w:val="nil"/>
                <w:right w:val="nil"/>
                <w:between w:val="nil"/>
              </w:pBdr>
              <w:spacing w:line="259" w:lineRule="auto"/>
            </w:pPr>
            <w:r>
              <w:rPr>
                <w:color w:val="000000"/>
              </w:rPr>
              <w:t>Tutor/participant notes</w:t>
            </w:r>
          </w:p>
          <w:p w14:paraId="13D8D3AA" w14:textId="77777777" w:rsidR="00284F0D" w:rsidRDefault="005413D7">
            <w:pPr>
              <w:numPr>
                <w:ilvl w:val="0"/>
                <w:numId w:val="3"/>
              </w:numPr>
              <w:pBdr>
                <w:top w:val="nil"/>
                <w:left w:val="nil"/>
                <w:bottom w:val="nil"/>
                <w:right w:val="nil"/>
                <w:between w:val="nil"/>
              </w:pBdr>
              <w:spacing w:line="259" w:lineRule="auto"/>
            </w:pPr>
            <w:r>
              <w:rPr>
                <w:color w:val="000000"/>
              </w:rPr>
              <w:t>Example of an OER (or part of one) translated into Myanmar language</w:t>
            </w:r>
          </w:p>
          <w:p w14:paraId="003CE732" w14:textId="5334AD70" w:rsidR="00284F0D" w:rsidRDefault="005413D7">
            <w:pPr>
              <w:numPr>
                <w:ilvl w:val="0"/>
                <w:numId w:val="3"/>
              </w:numPr>
              <w:pBdr>
                <w:top w:val="nil"/>
                <w:left w:val="nil"/>
                <w:bottom w:val="nil"/>
                <w:right w:val="nil"/>
                <w:between w:val="nil"/>
              </w:pBdr>
              <w:spacing w:after="160" w:line="259" w:lineRule="auto"/>
              <w:rPr>
                <w:color w:val="000000"/>
              </w:rPr>
            </w:pPr>
            <w:r>
              <w:rPr>
                <w:color w:val="000000"/>
              </w:rPr>
              <w:t>Short video on ‘Different purposes of wearing thanakha’</w:t>
            </w:r>
          </w:p>
        </w:tc>
      </w:tr>
      <w:tr w:rsidR="00284F0D" w14:paraId="3C64FA01" w14:textId="77777777">
        <w:tc>
          <w:tcPr>
            <w:tcW w:w="2263" w:type="dxa"/>
          </w:tcPr>
          <w:p w14:paraId="6EA22252" w14:textId="77777777" w:rsidR="00284F0D" w:rsidRDefault="005413D7">
            <w:r>
              <w:t>Learning outcome(s)</w:t>
            </w:r>
          </w:p>
        </w:tc>
        <w:tc>
          <w:tcPr>
            <w:tcW w:w="6753" w:type="dxa"/>
          </w:tcPr>
          <w:p w14:paraId="5D0B9275" w14:textId="77777777" w:rsidR="00284F0D" w:rsidRDefault="005413D7">
            <w:pPr>
              <w:numPr>
                <w:ilvl w:val="0"/>
                <w:numId w:val="4"/>
              </w:numPr>
              <w:pBdr>
                <w:top w:val="nil"/>
                <w:left w:val="nil"/>
                <w:bottom w:val="nil"/>
                <w:right w:val="nil"/>
                <w:between w:val="nil"/>
              </w:pBdr>
              <w:spacing w:line="259" w:lineRule="auto"/>
            </w:pPr>
            <w:r>
              <w:t>Explain what a</w:t>
            </w:r>
            <w:r>
              <w:rPr>
                <w:color w:val="000000"/>
              </w:rPr>
              <w:t xml:space="preserve"> learning outcome</w:t>
            </w:r>
            <w:r>
              <w:t xml:space="preserve"> is to a colleague in your university</w:t>
            </w:r>
          </w:p>
          <w:p w14:paraId="1FFE7749" w14:textId="77777777" w:rsidR="00284F0D" w:rsidRDefault="005413D7">
            <w:pPr>
              <w:numPr>
                <w:ilvl w:val="0"/>
                <w:numId w:val="4"/>
              </w:numPr>
              <w:pBdr>
                <w:top w:val="nil"/>
                <w:left w:val="nil"/>
                <w:bottom w:val="nil"/>
                <w:right w:val="nil"/>
                <w:between w:val="nil"/>
              </w:pBdr>
              <w:spacing w:line="259" w:lineRule="auto"/>
            </w:pPr>
            <w:r>
              <w:t>Write or adapt learning outcomes for an OER course</w:t>
            </w:r>
            <w:r>
              <w:rPr>
                <w:color w:val="000000"/>
              </w:rPr>
              <w:t xml:space="preserve"> </w:t>
            </w:r>
          </w:p>
          <w:p w14:paraId="0032EAC3" w14:textId="77777777" w:rsidR="00284F0D" w:rsidRDefault="00284F0D">
            <w:pPr>
              <w:pBdr>
                <w:top w:val="nil"/>
                <w:left w:val="nil"/>
                <w:bottom w:val="nil"/>
                <w:right w:val="nil"/>
                <w:between w:val="nil"/>
              </w:pBdr>
              <w:ind w:left="720"/>
            </w:pPr>
          </w:p>
        </w:tc>
      </w:tr>
      <w:tr w:rsidR="00284F0D" w14:paraId="34A2C638" w14:textId="77777777">
        <w:tc>
          <w:tcPr>
            <w:tcW w:w="2263" w:type="dxa"/>
          </w:tcPr>
          <w:p w14:paraId="08D7D6EE" w14:textId="77777777" w:rsidR="00284F0D" w:rsidRDefault="005413D7">
            <w:r>
              <w:t>Brief description of activity (knowledge to be covered and how it will be run)</w:t>
            </w:r>
          </w:p>
          <w:p w14:paraId="5B5D0CCD" w14:textId="77777777" w:rsidR="00284F0D" w:rsidRDefault="00284F0D"/>
          <w:p w14:paraId="1BC0F1FC" w14:textId="77777777" w:rsidR="00284F0D" w:rsidRDefault="00284F0D"/>
          <w:p w14:paraId="54101E65" w14:textId="77777777" w:rsidR="00284F0D" w:rsidRDefault="00284F0D"/>
          <w:p w14:paraId="096AFE55" w14:textId="77777777" w:rsidR="00284F0D" w:rsidRDefault="00284F0D"/>
          <w:p w14:paraId="68ABBD19" w14:textId="77777777" w:rsidR="00284F0D" w:rsidRDefault="00284F0D"/>
          <w:p w14:paraId="1F824718" w14:textId="77777777" w:rsidR="00284F0D" w:rsidRDefault="00284F0D"/>
          <w:p w14:paraId="63EE237B" w14:textId="77777777" w:rsidR="00284F0D" w:rsidRDefault="00284F0D"/>
          <w:p w14:paraId="41D415A0" w14:textId="77777777" w:rsidR="00284F0D" w:rsidRDefault="00284F0D"/>
          <w:p w14:paraId="004E8334" w14:textId="77777777" w:rsidR="00284F0D" w:rsidRDefault="00284F0D"/>
          <w:p w14:paraId="5F0C20D4" w14:textId="77777777" w:rsidR="00284F0D" w:rsidRDefault="00284F0D"/>
          <w:p w14:paraId="6F545508" w14:textId="77777777" w:rsidR="00284F0D" w:rsidRDefault="00284F0D"/>
          <w:p w14:paraId="114F1157" w14:textId="77777777" w:rsidR="00284F0D" w:rsidRDefault="00284F0D"/>
          <w:p w14:paraId="2158ECC8" w14:textId="77777777" w:rsidR="00284F0D" w:rsidRDefault="00284F0D"/>
          <w:p w14:paraId="6B8074A5" w14:textId="77777777" w:rsidR="00284F0D" w:rsidRDefault="00284F0D"/>
          <w:p w14:paraId="3A07BC6D" w14:textId="77777777" w:rsidR="00284F0D" w:rsidRDefault="00284F0D"/>
          <w:p w14:paraId="55D47D62" w14:textId="77777777" w:rsidR="00284F0D" w:rsidRDefault="00284F0D"/>
          <w:p w14:paraId="53DB05FF" w14:textId="77777777" w:rsidR="00284F0D" w:rsidRDefault="00284F0D"/>
          <w:p w14:paraId="1481E8F9" w14:textId="77777777" w:rsidR="00284F0D" w:rsidRDefault="00284F0D"/>
        </w:tc>
        <w:tc>
          <w:tcPr>
            <w:tcW w:w="6753" w:type="dxa"/>
          </w:tcPr>
          <w:p w14:paraId="56D34A0F" w14:textId="77777777" w:rsidR="00284F0D" w:rsidRDefault="005413D7">
            <w:pPr>
              <w:spacing w:line="276" w:lineRule="auto"/>
            </w:pPr>
            <w:r>
              <w:t xml:space="preserve">This session will focus on writing learning outcomes. Participants will be introduced to learning outcomes – what they are and why they are important. There will be the chance to think about how learning outcomes relate to assessment, and the importance of active learning to enable learners to achieve the learning outcomes and complete the assessment. </w:t>
            </w:r>
          </w:p>
          <w:p w14:paraId="02CD04BC" w14:textId="77777777" w:rsidR="00284F0D" w:rsidRDefault="00284F0D">
            <w:pPr>
              <w:spacing w:line="276" w:lineRule="auto"/>
            </w:pPr>
          </w:p>
          <w:p w14:paraId="0E3B4743" w14:textId="77777777" w:rsidR="00284F0D" w:rsidRDefault="005413D7">
            <w:pPr>
              <w:spacing w:line="276" w:lineRule="auto"/>
            </w:pPr>
            <w:r>
              <w:t>To put the study material on learning outcomes in context, learners are directed to the short video on ‘Different purposes of wearing thanakha’. This video was created by participants at the November 2019 residential school and it shows how they developed some learning outcomes and activities to teach others about uses of thanakha, and thought about how these could be assessed.</w:t>
            </w:r>
          </w:p>
          <w:p w14:paraId="13299A34" w14:textId="77777777" w:rsidR="00284F0D" w:rsidRDefault="005413D7">
            <w:pPr>
              <w:spacing w:line="276" w:lineRule="auto"/>
              <w:ind w:left="360" w:hanging="360"/>
            </w:pPr>
            <w:r>
              <w:t xml:space="preserve"> </w:t>
            </w:r>
          </w:p>
          <w:p w14:paraId="3E0D8499" w14:textId="77777777" w:rsidR="00284F0D" w:rsidRDefault="005413D7">
            <w:pPr>
              <w:spacing w:line="276" w:lineRule="auto"/>
            </w:pPr>
            <w:r>
              <w:t>Learners will also focus on an OER and come up with ideas for what learners will do to meet learning outcomes and demonstrate their skills and knowledge through the assessment. This will lead onto a future activity to plan the structure of their OER course in preparation for putting it online.</w:t>
            </w:r>
          </w:p>
          <w:p w14:paraId="27A4B4E7" w14:textId="77777777" w:rsidR="00284F0D" w:rsidRDefault="00284F0D">
            <w:pPr>
              <w:spacing w:line="276" w:lineRule="auto"/>
              <w:ind w:left="720" w:hanging="360"/>
              <w:rPr>
                <w:rFonts w:ascii="Times New Roman" w:eastAsia="Times New Roman" w:hAnsi="Times New Roman" w:cs="Times New Roman"/>
                <w:sz w:val="24"/>
                <w:szCs w:val="24"/>
              </w:rPr>
            </w:pPr>
          </w:p>
          <w:p w14:paraId="74BCDB28" w14:textId="77777777" w:rsidR="00284F0D" w:rsidRDefault="005413D7">
            <w:pPr>
              <w:spacing w:line="276" w:lineRule="auto"/>
              <w:rPr>
                <w:b/>
              </w:rPr>
            </w:pPr>
            <w:r>
              <w:rPr>
                <w:b/>
              </w:rPr>
              <w:t>Activity 1 (group or individuals): active learning - 30 minutes</w:t>
            </w:r>
          </w:p>
          <w:p w14:paraId="0C307430" w14:textId="77777777" w:rsidR="00284F0D" w:rsidRDefault="005413D7">
            <w:pPr>
              <w:numPr>
                <w:ilvl w:val="0"/>
                <w:numId w:val="2"/>
              </w:numPr>
              <w:spacing w:line="276" w:lineRule="auto"/>
            </w:pPr>
            <w:r>
              <w:t xml:space="preserve">Think about a time when you had a good experience of learning something – what was it that helped you to learn? </w:t>
            </w:r>
          </w:p>
          <w:p w14:paraId="39E60338" w14:textId="77777777" w:rsidR="00284F0D" w:rsidRDefault="005413D7">
            <w:pPr>
              <w:numPr>
                <w:ilvl w:val="0"/>
                <w:numId w:val="2"/>
              </w:numPr>
              <w:pBdr>
                <w:top w:val="nil"/>
                <w:left w:val="nil"/>
                <w:bottom w:val="nil"/>
                <w:right w:val="nil"/>
                <w:between w:val="nil"/>
              </w:pBdr>
              <w:spacing w:line="276" w:lineRule="auto"/>
              <w:rPr>
                <w:color w:val="000000"/>
              </w:rPr>
            </w:pPr>
            <w:r>
              <w:rPr>
                <w:color w:val="000000"/>
              </w:rPr>
              <w:t>Watch the short video on ‘Different purposes of wearing thanakha’ (details in Tutor / Participant handout, along with how to carry out this activity if you want to try it yourself)</w:t>
            </w:r>
          </w:p>
          <w:p w14:paraId="48165482" w14:textId="77777777" w:rsidR="00284F0D" w:rsidRDefault="005413D7">
            <w:pPr>
              <w:numPr>
                <w:ilvl w:val="0"/>
                <w:numId w:val="2"/>
              </w:numPr>
              <w:pBdr>
                <w:top w:val="nil"/>
                <w:left w:val="nil"/>
                <w:bottom w:val="nil"/>
                <w:right w:val="nil"/>
                <w:between w:val="nil"/>
              </w:pBdr>
              <w:spacing w:line="276" w:lineRule="auto"/>
              <w:rPr>
                <w:b/>
                <w:color w:val="000000"/>
              </w:rPr>
            </w:pPr>
            <w:r>
              <w:rPr>
                <w:color w:val="000000"/>
              </w:rPr>
              <w:t xml:space="preserve">Review the part of the Tutor / Participant notes handout that lists examples of active learning. </w:t>
            </w:r>
          </w:p>
          <w:p w14:paraId="1BB4DEEA" w14:textId="77777777" w:rsidR="00284F0D" w:rsidRDefault="005413D7">
            <w:pPr>
              <w:numPr>
                <w:ilvl w:val="0"/>
                <w:numId w:val="2"/>
              </w:numPr>
              <w:pBdr>
                <w:top w:val="nil"/>
                <w:left w:val="nil"/>
                <w:bottom w:val="nil"/>
                <w:right w:val="nil"/>
                <w:between w:val="nil"/>
              </w:pBdr>
              <w:spacing w:line="276" w:lineRule="auto"/>
              <w:rPr>
                <w:b/>
                <w:color w:val="000000"/>
              </w:rPr>
            </w:pPr>
            <w:r>
              <w:rPr>
                <w:color w:val="000000"/>
              </w:rPr>
              <w:t>Note down one or two examples of activities that would help your learners to master the skill of creating thanakha</w:t>
            </w:r>
          </w:p>
          <w:p w14:paraId="04D868C4" w14:textId="77777777" w:rsidR="00284F0D" w:rsidRDefault="005413D7">
            <w:pPr>
              <w:numPr>
                <w:ilvl w:val="0"/>
                <w:numId w:val="2"/>
              </w:numPr>
              <w:pBdr>
                <w:top w:val="nil"/>
                <w:left w:val="nil"/>
                <w:bottom w:val="nil"/>
                <w:right w:val="nil"/>
                <w:between w:val="nil"/>
              </w:pBdr>
              <w:spacing w:after="160" w:line="276" w:lineRule="auto"/>
              <w:rPr>
                <w:b/>
                <w:color w:val="000000"/>
              </w:rPr>
            </w:pPr>
            <w:r>
              <w:rPr>
                <w:color w:val="000000"/>
              </w:rPr>
              <w:lastRenderedPageBreak/>
              <w:t>If you are working in a group with others, feed back and compare examples</w:t>
            </w:r>
            <w:r>
              <w:rPr>
                <w:b/>
              </w:rPr>
              <w:t>.</w:t>
            </w:r>
          </w:p>
          <w:p w14:paraId="7D37CBB1" w14:textId="77777777" w:rsidR="00284F0D" w:rsidRDefault="00284F0D">
            <w:pPr>
              <w:spacing w:line="276" w:lineRule="auto"/>
              <w:rPr>
                <w:b/>
              </w:rPr>
            </w:pPr>
          </w:p>
          <w:p w14:paraId="608E30BF" w14:textId="77777777" w:rsidR="00284F0D" w:rsidRDefault="005413D7">
            <w:pPr>
              <w:spacing w:line="276" w:lineRule="auto"/>
              <w:ind w:left="360" w:hanging="360"/>
              <w:rPr>
                <w:b/>
              </w:rPr>
            </w:pPr>
            <w:r>
              <w:rPr>
                <w:b/>
              </w:rPr>
              <w:t>Activity 2 (group or individual): write a learning outcome – 45 minutes</w:t>
            </w:r>
          </w:p>
          <w:p w14:paraId="49F0FB82" w14:textId="77777777" w:rsidR="00284F0D" w:rsidRDefault="005413D7">
            <w:pPr>
              <w:numPr>
                <w:ilvl w:val="0"/>
                <w:numId w:val="1"/>
              </w:numPr>
              <w:pBdr>
                <w:top w:val="nil"/>
                <w:left w:val="nil"/>
                <w:bottom w:val="nil"/>
                <w:right w:val="nil"/>
                <w:between w:val="nil"/>
              </w:pBdr>
              <w:spacing w:line="276" w:lineRule="auto"/>
              <w:rPr>
                <w:b/>
                <w:color w:val="000000"/>
              </w:rPr>
            </w:pPr>
            <w:r>
              <w:rPr>
                <w:color w:val="000000"/>
              </w:rPr>
              <w:t>Study the tutor / participant notes on learning outcomes</w:t>
            </w:r>
          </w:p>
          <w:p w14:paraId="3CED8830" w14:textId="77777777" w:rsidR="00284F0D" w:rsidRDefault="005413D7">
            <w:pPr>
              <w:numPr>
                <w:ilvl w:val="0"/>
                <w:numId w:val="1"/>
              </w:numPr>
              <w:pBdr>
                <w:top w:val="nil"/>
                <w:left w:val="nil"/>
                <w:bottom w:val="nil"/>
                <w:right w:val="nil"/>
                <w:between w:val="nil"/>
              </w:pBdr>
              <w:spacing w:line="276" w:lineRule="auto"/>
              <w:rPr>
                <w:b/>
                <w:color w:val="000000"/>
              </w:rPr>
            </w:pPr>
            <w:r>
              <w:rPr>
                <w:color w:val="000000"/>
              </w:rPr>
              <w:t>Look at the OER you are going to focus on</w:t>
            </w:r>
          </w:p>
          <w:p w14:paraId="7F8E6ABB" w14:textId="77777777" w:rsidR="00284F0D" w:rsidRDefault="005413D7">
            <w:pPr>
              <w:numPr>
                <w:ilvl w:val="0"/>
                <w:numId w:val="1"/>
              </w:numPr>
              <w:pBdr>
                <w:top w:val="nil"/>
                <w:left w:val="nil"/>
                <w:bottom w:val="nil"/>
                <w:right w:val="nil"/>
                <w:between w:val="nil"/>
              </w:pBdr>
              <w:spacing w:line="276" w:lineRule="auto"/>
            </w:pPr>
            <w:r>
              <w:rPr>
                <w:color w:val="000000"/>
              </w:rPr>
              <w:t>Identify something you would like your learners to be able to do after studying your OER – write it down (note that your OER may already have some learning outcomes, but you should consider the needs of learners in your context)</w:t>
            </w:r>
          </w:p>
          <w:p w14:paraId="15A18B36" w14:textId="77777777" w:rsidR="00284F0D" w:rsidRDefault="005413D7">
            <w:pPr>
              <w:numPr>
                <w:ilvl w:val="0"/>
                <w:numId w:val="1"/>
              </w:numPr>
              <w:pBdr>
                <w:top w:val="nil"/>
                <w:left w:val="nil"/>
                <w:bottom w:val="nil"/>
                <w:right w:val="nil"/>
                <w:between w:val="nil"/>
              </w:pBdr>
              <w:spacing w:line="276" w:lineRule="auto"/>
            </w:pPr>
            <w:r>
              <w:rPr>
                <w:color w:val="000000"/>
              </w:rPr>
              <w:t>How will you know if they can do it? Add your ideas</w:t>
            </w:r>
          </w:p>
          <w:p w14:paraId="71665315" w14:textId="77777777" w:rsidR="00284F0D" w:rsidRDefault="005413D7">
            <w:pPr>
              <w:numPr>
                <w:ilvl w:val="0"/>
                <w:numId w:val="1"/>
              </w:numPr>
              <w:pBdr>
                <w:top w:val="nil"/>
                <w:left w:val="nil"/>
                <w:bottom w:val="nil"/>
                <w:right w:val="nil"/>
                <w:between w:val="nil"/>
              </w:pBdr>
              <w:spacing w:line="276" w:lineRule="auto"/>
            </w:pPr>
            <w:r>
              <w:rPr>
                <w:color w:val="000000"/>
              </w:rPr>
              <w:t>Are there any learning activities you would like to add to the OER to help your learners be able to achieve the learning outcomes and do the assessment?</w:t>
            </w:r>
          </w:p>
          <w:p w14:paraId="7D8E3CDE" w14:textId="77777777" w:rsidR="00284F0D" w:rsidRDefault="005413D7">
            <w:pPr>
              <w:numPr>
                <w:ilvl w:val="0"/>
                <w:numId w:val="1"/>
              </w:numPr>
              <w:pBdr>
                <w:top w:val="nil"/>
                <w:left w:val="nil"/>
                <w:bottom w:val="nil"/>
                <w:right w:val="nil"/>
                <w:between w:val="nil"/>
              </w:pBdr>
              <w:spacing w:after="160" w:line="276" w:lineRule="auto"/>
            </w:pPr>
            <w:bookmarkStart w:id="0" w:name="_heading=h.gjdgxs" w:colFirst="0" w:colLast="0"/>
            <w:bookmarkEnd w:id="0"/>
            <w:r>
              <w:rPr>
                <w:color w:val="000000"/>
              </w:rPr>
              <w:t>If you are doing group work with others, feed back your ideas to the whole group.</w:t>
            </w:r>
          </w:p>
          <w:p w14:paraId="54C214BF" w14:textId="77777777" w:rsidR="00284F0D" w:rsidRDefault="00284F0D">
            <w:pPr>
              <w:spacing w:line="276" w:lineRule="auto"/>
            </w:pPr>
          </w:p>
        </w:tc>
      </w:tr>
    </w:tbl>
    <w:p w14:paraId="639B1C39" w14:textId="77777777" w:rsidR="00284F0D" w:rsidRDefault="00284F0D"/>
    <w:sectPr w:rsidR="00284F0D">
      <w:pgSz w:w="11906" w:h="16838"/>
      <w:pgMar w:top="567"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346920"/>
    <w:multiLevelType w:val="multilevel"/>
    <w:tmpl w:val="5E50A3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3CE43CF"/>
    <w:multiLevelType w:val="multilevel"/>
    <w:tmpl w:val="1BE47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C129DD"/>
    <w:multiLevelType w:val="multilevel"/>
    <w:tmpl w:val="75221F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500371B"/>
    <w:multiLevelType w:val="multilevel"/>
    <w:tmpl w:val="8228B4A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0D"/>
    <w:rsid w:val="00202CEE"/>
    <w:rsid w:val="00284F0D"/>
    <w:rsid w:val="00423C71"/>
    <w:rsid w:val="00541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3D611"/>
  <w15:docId w15:val="{F2B4E55F-24D1-49A4-9EF0-6A590FCA6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semiHidden/>
    <w:unhideWhenUsed/>
    <w:qFormat/>
    <w:pPr>
      <w:keepNext/>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D64D3B"/>
    <w:rPr>
      <w:color w:val="0000FF" w:themeColor="hyperlink"/>
      <w:u w:val="single"/>
    </w:rPr>
  </w:style>
  <w:style w:type="character" w:customStyle="1" w:styleId="UnresolvedMention1">
    <w:name w:val="Unresolved Mention1"/>
    <w:basedOn w:val="DefaultParagraphFont"/>
    <w:uiPriority w:val="99"/>
    <w:semiHidden/>
    <w:unhideWhenUsed/>
    <w:rsid w:val="00D64D3B"/>
    <w:rPr>
      <w:color w:val="605E5C"/>
      <w:shd w:val="clear" w:color="auto" w:fill="E1DFDD"/>
    </w:rPr>
  </w:style>
  <w:style w:type="paragraph" w:styleId="ListParagraph">
    <w:name w:val="List Paragraph"/>
    <w:basedOn w:val="Normal"/>
    <w:uiPriority w:val="34"/>
    <w:qFormat/>
    <w:rsid w:val="008D7745"/>
    <w:pPr>
      <w:ind w:left="720"/>
      <w:contextualSpacing/>
    </w:pPr>
  </w:style>
  <w:style w:type="paragraph" w:styleId="BalloonText">
    <w:name w:val="Balloon Text"/>
    <w:basedOn w:val="Normal"/>
    <w:link w:val="BalloonTextChar"/>
    <w:uiPriority w:val="99"/>
    <w:semiHidden/>
    <w:unhideWhenUsed/>
    <w:rsid w:val="001275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5CF"/>
    <w:rPr>
      <w:rFonts w:ascii="Segoe UI" w:hAnsi="Segoe UI" w:cs="Segoe UI"/>
      <w:sz w:val="18"/>
      <w:szCs w:val="18"/>
    </w:rPr>
  </w:style>
  <w:style w:type="character" w:styleId="CommentReference">
    <w:name w:val="annotation reference"/>
    <w:basedOn w:val="DefaultParagraphFont"/>
    <w:uiPriority w:val="99"/>
    <w:semiHidden/>
    <w:unhideWhenUsed/>
    <w:rsid w:val="00C37CCB"/>
    <w:rPr>
      <w:sz w:val="16"/>
      <w:szCs w:val="16"/>
    </w:rPr>
  </w:style>
  <w:style w:type="paragraph" w:styleId="CommentText">
    <w:name w:val="annotation text"/>
    <w:basedOn w:val="Normal"/>
    <w:link w:val="CommentTextChar"/>
    <w:uiPriority w:val="99"/>
    <w:semiHidden/>
    <w:unhideWhenUsed/>
    <w:rsid w:val="00C37CCB"/>
    <w:pPr>
      <w:spacing w:line="240" w:lineRule="auto"/>
    </w:pPr>
    <w:rPr>
      <w:sz w:val="20"/>
      <w:szCs w:val="20"/>
    </w:rPr>
  </w:style>
  <w:style w:type="character" w:customStyle="1" w:styleId="CommentTextChar">
    <w:name w:val="Comment Text Char"/>
    <w:basedOn w:val="DefaultParagraphFont"/>
    <w:link w:val="CommentText"/>
    <w:uiPriority w:val="99"/>
    <w:semiHidden/>
    <w:rsid w:val="00C37CCB"/>
    <w:rPr>
      <w:sz w:val="20"/>
      <w:szCs w:val="20"/>
    </w:rPr>
  </w:style>
  <w:style w:type="paragraph" w:styleId="CommentSubject">
    <w:name w:val="annotation subject"/>
    <w:basedOn w:val="CommentText"/>
    <w:next w:val="CommentText"/>
    <w:link w:val="CommentSubjectChar"/>
    <w:uiPriority w:val="99"/>
    <w:semiHidden/>
    <w:unhideWhenUsed/>
    <w:rsid w:val="00C37CCB"/>
    <w:rPr>
      <w:b/>
      <w:bCs/>
    </w:rPr>
  </w:style>
  <w:style w:type="character" w:customStyle="1" w:styleId="CommentSubjectChar">
    <w:name w:val="Comment Subject Char"/>
    <w:basedOn w:val="CommentTextChar"/>
    <w:link w:val="CommentSubject"/>
    <w:uiPriority w:val="99"/>
    <w:semiHidden/>
    <w:rsid w:val="00C37CCB"/>
    <w:rPr>
      <w:b/>
      <w:bCs/>
      <w:sz w:val="20"/>
      <w:szCs w:val="20"/>
    </w:r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Uk+qsnVwqx8bPpzz8ZIGgdUKnQ==">AMUW2mXx4MS6X6ZWPDEX7IX9prsWoALv5JT6xapdgMPsNcnrmQnWQz2WH52akTRfyp3403UyvKUofEEki/wy+GeZSzj5cKfmgcIII+FI7K4AVNXGikEhsp+oJXDF+YWjt6FnnTeec/Q3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Tim.Seal</dc:creator>
  <cp:lastModifiedBy>Beck.Pitt</cp:lastModifiedBy>
  <cp:revision>3</cp:revision>
  <dcterms:created xsi:type="dcterms:W3CDTF">2021-05-25T10:44:00Z</dcterms:created>
  <dcterms:modified xsi:type="dcterms:W3CDTF">2021-05-25T10:45:00Z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0x010100787AB00C1994404DB4236E3DC2775AD0</vt:lpwstr>
  </property>
</Properties>
</file>