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5770"/>
      </w:tblGrid>
      <w:tr w:rsidR="00C17465" w:rsidRPr="002F5777" w14:paraId="529CBCB4" w14:textId="77777777" w:rsidTr="00C17465">
        <w:tc>
          <w:tcPr>
            <w:tcW w:w="1257" w:type="pct"/>
          </w:tcPr>
          <w:p w14:paraId="6FF66618" w14:textId="794A29BC" w:rsidR="00C17465" w:rsidRPr="002F5777" w:rsidRDefault="00B102B2" w:rsidP="00417D87">
            <w:pPr>
              <w:pStyle w:val="NormalWeb"/>
              <w:rPr>
                <w:rFonts w:ascii="Calibri" w:hAnsi="Calibri" w:cs="Calibri"/>
                <w:color w:val="2D5193"/>
                <w:sz w:val="32"/>
                <w:szCs w:val="32"/>
                <w:lang w:val="fr-FR"/>
              </w:rPr>
            </w:pPr>
            <w:r w:rsidRPr="002F5777">
              <w:rPr>
                <w:noProof/>
                <w:lang w:val="fr-FR"/>
              </w:rPr>
              <w:drawing>
                <wp:inline distT="0" distB="0" distL="0" distR="0" wp14:anchorId="2D30092F" wp14:editId="7E91A991">
                  <wp:extent cx="1920000" cy="72000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3" w:type="pct"/>
          </w:tcPr>
          <w:p w14:paraId="5AB7A75F" w14:textId="3A737601" w:rsidR="00C17465" w:rsidRPr="002F5777" w:rsidRDefault="00C17465" w:rsidP="00C17465">
            <w:pPr>
              <w:pStyle w:val="NormalWeb"/>
              <w:jc w:val="right"/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</w:pPr>
            <w:r w:rsidRPr="002F5777"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  <w:t>Apprentissage et enseignement inclusifs</w:t>
            </w:r>
          </w:p>
        </w:tc>
      </w:tr>
    </w:tbl>
    <w:p w14:paraId="1DEDC3EF" w14:textId="77777777" w:rsidR="00551842" w:rsidRDefault="00551842" w:rsidP="002E3176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2D5193"/>
          <w:sz w:val="32"/>
          <w:szCs w:val="32"/>
          <w:lang w:val="fr-FR"/>
        </w:rPr>
      </w:pPr>
    </w:p>
    <w:p w14:paraId="0F7A8962" w14:textId="729D7711" w:rsidR="00C17465" w:rsidRPr="002F5777" w:rsidRDefault="008D7458" w:rsidP="002E3176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2D5193"/>
          <w:sz w:val="32"/>
          <w:szCs w:val="32"/>
          <w:lang w:val="fr-FR"/>
        </w:rPr>
      </w:pPr>
      <w:r w:rsidRPr="002F5777">
        <w:rPr>
          <w:rFonts w:ascii="Calibri" w:hAnsi="Calibri" w:cs="Calibri"/>
          <w:color w:val="2D5193"/>
          <w:sz w:val="32"/>
          <w:szCs w:val="32"/>
          <w:lang w:val="fr-FR"/>
        </w:rPr>
        <w:t>Les trois catégories des savoirs pour l’enseignement</w:t>
      </w:r>
    </w:p>
    <w:p w14:paraId="0C31DFCA" w14:textId="70159C92" w:rsidR="008D7458" w:rsidRPr="002F5777" w:rsidRDefault="008D7458" w:rsidP="002E3176">
      <w:pPr>
        <w:spacing w:line="276" w:lineRule="auto"/>
        <w:rPr>
          <w:rFonts w:ascii="ArialMT" w:hAnsi="ArialMT"/>
          <w:sz w:val="18"/>
          <w:szCs w:val="18"/>
          <w:shd w:val="clear" w:color="auto" w:fill="FFFFFF"/>
          <w:lang w:val="fr-FR"/>
        </w:rPr>
      </w:pPr>
      <w:r w:rsidRPr="008D7458">
        <w:rPr>
          <w:rFonts w:ascii="ArialMT" w:hAnsi="ArialMT"/>
          <w:sz w:val="18"/>
          <w:szCs w:val="18"/>
          <w:shd w:val="clear" w:color="auto" w:fill="FFFFFF"/>
          <w:lang w:val="fr-FR"/>
        </w:rPr>
        <w:t>(</w:t>
      </w:r>
      <w:proofErr w:type="gramStart"/>
      <w:r w:rsidRPr="008D7458">
        <w:rPr>
          <w:rFonts w:ascii="ArialMT" w:hAnsi="ArialMT"/>
          <w:sz w:val="18"/>
          <w:szCs w:val="18"/>
          <w:shd w:val="clear" w:color="auto" w:fill="FFFFFF"/>
          <w:lang w:val="fr-FR"/>
        </w:rPr>
        <w:t>d’</w:t>
      </w:r>
      <w:proofErr w:type="spellStart"/>
      <w:r w:rsidRPr="008D7458">
        <w:rPr>
          <w:rFonts w:ascii="ArialMT" w:hAnsi="ArialMT"/>
          <w:sz w:val="18"/>
          <w:szCs w:val="18"/>
          <w:shd w:val="clear" w:color="auto" w:fill="FFFFFF"/>
          <w:lang w:val="fr-FR"/>
        </w:rPr>
        <w:t>après</w:t>
      </w:r>
      <w:proofErr w:type="spellEnd"/>
      <w:proofErr w:type="gramEnd"/>
      <w:r w:rsidRPr="008D7458">
        <w:rPr>
          <w:rFonts w:ascii="ArialMT" w:hAnsi="ArialMT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8D7458">
        <w:rPr>
          <w:rFonts w:ascii="ArialMT" w:hAnsi="ArialMT"/>
          <w:sz w:val="18"/>
          <w:szCs w:val="18"/>
          <w:shd w:val="clear" w:color="auto" w:fill="FFFFFF"/>
          <w:lang w:val="fr-FR"/>
        </w:rPr>
        <w:t>Cohran</w:t>
      </w:r>
      <w:proofErr w:type="spellEnd"/>
      <w:r w:rsidRPr="008D7458">
        <w:rPr>
          <w:rFonts w:ascii="ArialMT" w:hAnsi="ArialMT"/>
          <w:sz w:val="18"/>
          <w:szCs w:val="18"/>
          <w:shd w:val="clear" w:color="auto" w:fill="FFFFFF"/>
          <w:lang w:val="fr-FR"/>
        </w:rPr>
        <w:t xml:space="preserve">-Smith et </w:t>
      </w:r>
      <w:proofErr w:type="spellStart"/>
      <w:r w:rsidRPr="008D7458">
        <w:rPr>
          <w:rFonts w:ascii="ArialMT" w:hAnsi="ArialMT"/>
          <w:sz w:val="18"/>
          <w:szCs w:val="18"/>
          <w:shd w:val="clear" w:color="auto" w:fill="FFFFFF"/>
          <w:lang w:val="fr-FR"/>
        </w:rPr>
        <w:t>Lytle</w:t>
      </w:r>
      <w:proofErr w:type="spellEnd"/>
      <w:r w:rsidRPr="008D7458">
        <w:rPr>
          <w:rFonts w:ascii="ArialMT" w:hAnsi="ArialMT"/>
          <w:sz w:val="18"/>
          <w:szCs w:val="18"/>
          <w:shd w:val="clear" w:color="auto" w:fill="FFFFFF"/>
          <w:lang w:val="fr-FR"/>
        </w:rPr>
        <w:t>, 1999)</w:t>
      </w:r>
    </w:p>
    <w:p w14:paraId="0824835B" w14:textId="7BCFE657" w:rsidR="00F167D7" w:rsidRPr="002F5777" w:rsidRDefault="00F167D7" w:rsidP="008D7458">
      <w:pPr>
        <w:rPr>
          <w:lang w:val="fr-FR"/>
        </w:rPr>
      </w:pPr>
    </w:p>
    <w:p w14:paraId="71C47EDB" w14:textId="77777777" w:rsidR="00F167D7" w:rsidRPr="008D7458" w:rsidRDefault="00F167D7" w:rsidP="008D7458">
      <w:pPr>
        <w:rPr>
          <w:lang w:val="fr-FR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8999"/>
      </w:tblGrid>
      <w:tr w:rsidR="00F167D7" w:rsidRPr="002E3176" w14:paraId="50A47CEB" w14:textId="77777777" w:rsidTr="00F167D7">
        <w:tc>
          <w:tcPr>
            <w:tcW w:w="5000" w:type="pct"/>
          </w:tcPr>
          <w:p w14:paraId="56455B3D" w14:textId="77777777" w:rsidR="002E3176" w:rsidRPr="006B2DDA" w:rsidRDefault="002E3176" w:rsidP="002E3176">
            <w:pPr>
              <w:spacing w:after="120"/>
              <w:rPr>
                <w:rFonts w:asciiTheme="minorHAnsi" w:hAnsiTheme="minorHAnsi" w:cstheme="minorHAnsi"/>
                <w:b/>
                <w:sz w:val="10"/>
                <w:szCs w:val="10"/>
                <w:lang w:val="fr-FR" w:eastAsia="fr-FR"/>
              </w:rPr>
            </w:pPr>
          </w:p>
          <w:p w14:paraId="0B864AC7" w14:textId="11571ECD" w:rsidR="00F167D7" w:rsidRPr="002E3176" w:rsidRDefault="00F167D7" w:rsidP="002E3176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</w:pPr>
            <w:r w:rsidRPr="002E3176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Les savoirs pour la pratique</w:t>
            </w:r>
          </w:p>
          <w:p w14:paraId="2DDE9FC8" w14:textId="5E1BC408" w:rsidR="00F167D7" w:rsidRPr="002E3176" w:rsidRDefault="00F167D7" w:rsidP="002E3176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  <w:r w:rsidRPr="002E31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Il s'agit de théories bien établies sur la philosophie, la psychologie et la sociologie de l'éducation</w:t>
            </w:r>
            <w:r w:rsidR="002E31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, </w:t>
            </w:r>
            <w:r w:rsidR="002E3176" w:rsidRPr="00551842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ainsi que les recherches en </w:t>
            </w:r>
            <w:r w:rsidR="006B2DDA" w:rsidRPr="00551842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sciences de l’éducation</w:t>
            </w:r>
            <w:r w:rsidRPr="00551842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. L'enseignant</w:t>
            </w:r>
            <w:r w:rsidRPr="002E31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.e apprend la théorie </w:t>
            </w:r>
            <w:proofErr w:type="spellStart"/>
            <w:r w:rsidR="002E3176" w:rsidRPr="002E3176">
              <w:rPr>
                <w:rFonts w:ascii="Calibri" w:hAnsi="Calibri" w:cs="Calibri"/>
                <w:color w:val="474F56"/>
                <w:sz w:val="22"/>
                <w:szCs w:val="22"/>
              </w:rPr>
              <w:t>lors</w:t>
            </w:r>
            <w:proofErr w:type="spellEnd"/>
            <w:r w:rsidR="002E3176" w:rsidRPr="002E3176">
              <w:rPr>
                <w:rFonts w:ascii="Calibri" w:hAnsi="Calibri" w:cs="Calibri"/>
                <w:color w:val="474F56"/>
                <w:sz w:val="22"/>
                <w:szCs w:val="22"/>
              </w:rPr>
              <w:t xml:space="preserve"> de </w:t>
            </w:r>
            <w:proofErr w:type="spellStart"/>
            <w:r w:rsidR="002E3176" w:rsidRPr="002E3176">
              <w:rPr>
                <w:rFonts w:ascii="Calibri" w:hAnsi="Calibri" w:cs="Calibri"/>
                <w:color w:val="474F56"/>
                <w:sz w:val="22"/>
                <w:szCs w:val="22"/>
              </w:rPr>
              <w:t>cours</w:t>
            </w:r>
            <w:proofErr w:type="spellEnd"/>
            <w:r w:rsidR="002E3176" w:rsidRPr="002E3176">
              <w:rPr>
                <w:rFonts w:ascii="Calibri" w:hAnsi="Calibri" w:cs="Calibri"/>
                <w:color w:val="474F56"/>
                <w:sz w:val="22"/>
                <w:szCs w:val="22"/>
              </w:rPr>
              <w:t xml:space="preserve"> </w:t>
            </w:r>
            <w:proofErr w:type="spellStart"/>
            <w:r w:rsidR="002E3176" w:rsidRPr="002E3176">
              <w:rPr>
                <w:rFonts w:ascii="Calibri" w:hAnsi="Calibri" w:cs="Calibri"/>
                <w:color w:val="474F56"/>
                <w:sz w:val="22"/>
                <w:szCs w:val="22"/>
              </w:rPr>
              <w:t>magistraux</w:t>
            </w:r>
            <w:proofErr w:type="spellEnd"/>
            <w:r w:rsidR="002E3176" w:rsidRPr="002E3176">
              <w:rPr>
                <w:rFonts w:ascii="Calibri" w:hAnsi="Calibri" w:cs="Calibri"/>
                <w:color w:val="474F56"/>
                <w:sz w:val="22"/>
                <w:szCs w:val="22"/>
              </w:rPr>
              <w:t xml:space="preserve"> </w:t>
            </w:r>
            <w:proofErr w:type="spellStart"/>
            <w:r w:rsidR="002E3176" w:rsidRPr="002E3176">
              <w:rPr>
                <w:rFonts w:ascii="Calibri" w:hAnsi="Calibri" w:cs="Calibri"/>
                <w:color w:val="474F56"/>
                <w:sz w:val="22"/>
                <w:szCs w:val="22"/>
              </w:rPr>
              <w:t>ou</w:t>
            </w:r>
            <w:proofErr w:type="spellEnd"/>
            <w:r w:rsidR="002E3176" w:rsidRPr="002E3176">
              <w:rPr>
                <w:rFonts w:ascii="Calibri" w:hAnsi="Calibri" w:cs="Calibri"/>
                <w:color w:val="474F56"/>
                <w:sz w:val="22"/>
                <w:szCs w:val="22"/>
              </w:rPr>
              <w:t xml:space="preserve"> </w:t>
            </w:r>
            <w:r w:rsidRPr="002E31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de conférences </w:t>
            </w:r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et en lisant des livres et des articles. Il s'agit de connaissances considérées comme objectives et fixes</w:t>
            </w:r>
            <w:r w:rsidR="006B2DDA"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, acquises au cours de </w:t>
            </w:r>
            <w:r w:rsidR="00551842"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sessions de</w:t>
            </w:r>
            <w:r w:rsidR="006B2DDA"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formation </w:t>
            </w:r>
            <w:r w:rsidR="00551842"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initiale et/ou de développement </w:t>
            </w:r>
            <w:r w:rsidR="006B2DDA"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professionnel</w:t>
            </w:r>
            <w:r w:rsidR="00551842"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continu.</w:t>
            </w:r>
          </w:p>
        </w:tc>
      </w:tr>
    </w:tbl>
    <w:p w14:paraId="50B24F98" w14:textId="63A44B84" w:rsidR="00F167D7" w:rsidRPr="002E3176" w:rsidRDefault="00F167D7" w:rsidP="00981D7F">
      <w:pPr>
        <w:pStyle w:val="NormalWeb"/>
        <w:spacing w:before="120" w:beforeAutospacing="0" w:after="120" w:afterAutospacing="0" w:line="276" w:lineRule="auto"/>
        <w:rPr>
          <w:rFonts w:asciiTheme="minorHAnsi" w:hAnsiTheme="minorHAnsi" w:cstheme="minorHAnsi"/>
          <w:sz w:val="10"/>
          <w:szCs w:val="10"/>
          <w:lang w:val="fr-FR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8999"/>
      </w:tblGrid>
      <w:tr w:rsidR="00F167D7" w:rsidRPr="002E3176" w14:paraId="150F0FE2" w14:textId="77777777" w:rsidTr="00F167D7">
        <w:tc>
          <w:tcPr>
            <w:tcW w:w="5000" w:type="pct"/>
          </w:tcPr>
          <w:p w14:paraId="1201A5CF" w14:textId="77777777" w:rsidR="002E3176" w:rsidRPr="006B2DDA" w:rsidRDefault="002E3176" w:rsidP="002E3176">
            <w:pPr>
              <w:spacing w:after="120" w:line="276" w:lineRule="auto"/>
              <w:rPr>
                <w:rFonts w:asciiTheme="minorHAnsi" w:hAnsiTheme="minorHAnsi" w:cstheme="minorHAnsi"/>
                <w:b/>
                <w:sz w:val="10"/>
                <w:szCs w:val="10"/>
                <w:lang w:val="fr-FR" w:eastAsia="fr-FR"/>
              </w:rPr>
            </w:pPr>
          </w:p>
          <w:p w14:paraId="702BD4C6" w14:textId="1B135E1C" w:rsidR="00F167D7" w:rsidRPr="002E3176" w:rsidRDefault="00F167D7" w:rsidP="002E3176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</w:pPr>
            <w:r w:rsidRPr="002E3176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 xml:space="preserve">Les savoirs </w:t>
            </w:r>
            <w:r w:rsidR="003B07DF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sur</w:t>
            </w:r>
            <w:r w:rsidRPr="002E3176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 xml:space="preserve"> la pratique</w:t>
            </w:r>
          </w:p>
          <w:p w14:paraId="5C8EA3B1" w14:textId="1CF29CF8" w:rsidR="00F167D7" w:rsidRPr="006042AA" w:rsidRDefault="00F167D7" w:rsidP="002E3176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2E31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Il s'agit de la connaissance du contexte. Elle comprend ce que les enseignant.</w:t>
            </w:r>
            <w:proofErr w:type="gramStart"/>
            <w:r w:rsidRPr="002E31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e.s</w:t>
            </w:r>
            <w:proofErr w:type="gramEnd"/>
            <w:r w:rsidRPr="002E31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savent instinctivement de leur contexte </w:t>
            </w:r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d’exercice. </w:t>
            </w:r>
            <w:proofErr w:type="spellStart"/>
            <w:proofErr w:type="gramStart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Différent.e.s</w:t>
            </w:r>
            <w:proofErr w:type="spellEnd"/>
            <w:proofErr w:type="gramEnd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enseignant.e.s vivront le contexte de façons différentes, ce qui fait que cette connaissance est subjective</w:t>
            </w:r>
            <w:r w:rsidR="006B2DDA"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et personnelle. E</w:t>
            </w:r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lle ne peut être considérée comme "bonne" ou "mauvaise"</w:t>
            </w:r>
            <w:r w:rsidR="006B2DDA"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</w:t>
            </w:r>
            <w:r w:rsidR="00551842"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en soi </w:t>
            </w:r>
            <w:r w:rsidR="006B2DDA"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et est essentielle à l’enseignant.e. </w:t>
            </w:r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Les enseignant.</w:t>
            </w:r>
            <w:proofErr w:type="gramStart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e.s</w:t>
            </w:r>
            <w:proofErr w:type="gramEnd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travaillent au sein de leur environnement social et culturel pour nouer un lien avec leurs élèves. L'apprentissage de </w:t>
            </w:r>
            <w:proofErr w:type="gramStart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l'enseignant.e</w:t>
            </w:r>
            <w:proofErr w:type="gramEnd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nécessite d'être </w:t>
            </w:r>
            <w:proofErr w:type="spellStart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prêt.e</w:t>
            </w:r>
            <w:proofErr w:type="spellEnd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à remettre en question ses propres hypothèses et interprétations et de comprendre le contexte dans lequel elle/il travaille, y compris les besoins et les l’environnement de ses élèves, afin de développer sa propre personnalité pédagogique. </w:t>
            </w:r>
          </w:p>
          <w:p w14:paraId="2E6FE0C7" w14:textId="1E4FB347" w:rsidR="00F167D7" w:rsidRPr="002E3176" w:rsidRDefault="00551842" w:rsidP="002E3176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</w:pPr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Lorsqu'un.e enseignant change d'école, ses collègues pourront se révéler d’une aide précieuse pour bien appréhender son nouveau contexte d’exercice.</w:t>
            </w:r>
            <w:r w:rsidRPr="006042AA">
              <w:rPr>
                <w:sz w:val="22"/>
                <w:szCs w:val="22"/>
                <w:lang w:val="fr-FR"/>
              </w:rPr>
              <w:t xml:space="preserve"> </w:t>
            </w:r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Il </w:t>
            </w:r>
            <w:r w:rsidRPr="006042AA">
              <w:rPr>
                <w:rStyle w:val="CommentReference"/>
              </w:rPr>
              <w:t/>
            </w:r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lui sera peut-être nécessaire de modifier des approches pédagogiques qui fonctionnaient auparavant. </w:t>
            </w:r>
            <w:r w:rsidRPr="00604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eastAsia="fr-FR"/>
              </w:rPr>
              <w:t>De fait,</w:t>
            </w:r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les enseignant.</w:t>
            </w:r>
            <w:proofErr w:type="gramStart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e.s</w:t>
            </w:r>
            <w:proofErr w:type="gramEnd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apprennent </w:t>
            </w:r>
            <w:r w:rsidRPr="00604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 w:eastAsia="fr-FR"/>
              </w:rPr>
              <w:t>à la fois</w:t>
            </w:r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en réfléchissant à leur pratique et en collaborant avec leurs collègues.</w:t>
            </w:r>
          </w:p>
        </w:tc>
      </w:tr>
    </w:tbl>
    <w:p w14:paraId="30F1E3DE" w14:textId="2D61A47F" w:rsidR="00F167D7" w:rsidRPr="002E3176" w:rsidRDefault="00F167D7" w:rsidP="00981D7F">
      <w:pPr>
        <w:pStyle w:val="NormalWeb"/>
        <w:spacing w:before="120" w:beforeAutospacing="0" w:after="120" w:afterAutospacing="0" w:line="276" w:lineRule="auto"/>
        <w:rPr>
          <w:rFonts w:asciiTheme="minorHAnsi" w:hAnsiTheme="minorHAnsi" w:cstheme="minorHAnsi"/>
          <w:sz w:val="10"/>
          <w:szCs w:val="10"/>
          <w:lang w:val="fr-FR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8999"/>
      </w:tblGrid>
      <w:tr w:rsidR="00F167D7" w:rsidRPr="002E3176" w14:paraId="4F360D51" w14:textId="77777777" w:rsidTr="00F167D7">
        <w:tc>
          <w:tcPr>
            <w:tcW w:w="5000" w:type="pct"/>
          </w:tcPr>
          <w:p w14:paraId="5A92D1AB" w14:textId="77777777" w:rsidR="002E3176" w:rsidRPr="006B2DDA" w:rsidRDefault="002E3176" w:rsidP="002E3176">
            <w:pPr>
              <w:spacing w:after="120" w:line="276" w:lineRule="auto"/>
              <w:rPr>
                <w:rFonts w:asciiTheme="minorHAnsi" w:hAnsiTheme="minorHAnsi" w:cstheme="minorHAnsi"/>
                <w:b/>
                <w:sz w:val="10"/>
                <w:szCs w:val="10"/>
                <w:lang w:val="fr-FR" w:eastAsia="fr-FR"/>
              </w:rPr>
            </w:pPr>
          </w:p>
          <w:p w14:paraId="5A2EA464" w14:textId="0375D5AC" w:rsidR="00F167D7" w:rsidRPr="002E3176" w:rsidRDefault="00F167D7" w:rsidP="002E3176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2E3176">
              <w:rPr>
                <w:rFonts w:asciiTheme="minorHAnsi" w:hAnsiTheme="minorHAnsi" w:cstheme="minorHAnsi"/>
                <w:b/>
                <w:sz w:val="22"/>
                <w:szCs w:val="22"/>
                <w:lang w:val="fr-FR" w:eastAsia="fr-FR"/>
              </w:rPr>
              <w:t>Les savoirs dans la pratique</w:t>
            </w:r>
          </w:p>
          <w:p w14:paraId="25BFEEBA" w14:textId="0DEB20FA" w:rsidR="00F167D7" w:rsidRPr="002E3176" w:rsidRDefault="00F167D7" w:rsidP="002E3176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E31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Ils se développent au fil de l’exercice enseignant. Il s'agit des savoirs tacites que les enseignant.</w:t>
            </w:r>
            <w:proofErr w:type="gramStart"/>
            <w:r w:rsidRPr="002E31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e.s</w:t>
            </w:r>
            <w:proofErr w:type="gramEnd"/>
            <w:r w:rsidRPr="002E31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utilisent pour réfléchir de façon judicieuse en classe, en prenant des décisions instantanées concernant </w:t>
            </w:r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l’enseignement et l'apprentissage. Elle est subjective et intègre ce que les enseignant.</w:t>
            </w:r>
            <w:proofErr w:type="gramStart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e.s</w:t>
            </w:r>
            <w:proofErr w:type="gramEnd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font instinctivement lorsqu'elles/ils répondent aux élèves ou modifient une activité qui ne fonctionne pas. </w:t>
            </w:r>
            <w:r w:rsidR="00645A37"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De même que pour les savoirs sur la pratique, l</w:t>
            </w:r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es enseignant.</w:t>
            </w:r>
            <w:proofErr w:type="gramStart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e.s</w:t>
            </w:r>
            <w:proofErr w:type="gramEnd"/>
            <w:r w:rsidRPr="006042A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apprennent en réfléchissant à leur pratique et en discutant avec leurs </w:t>
            </w:r>
            <w:r w:rsidRPr="002E3176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collègues.</w:t>
            </w:r>
          </w:p>
        </w:tc>
      </w:tr>
    </w:tbl>
    <w:p w14:paraId="10337996" w14:textId="77777777" w:rsidR="002E3176" w:rsidRDefault="002E3176" w:rsidP="002E3176">
      <w:pPr>
        <w:rPr>
          <w:rFonts w:asciiTheme="minorHAnsi" w:hAnsiTheme="minorHAnsi" w:cstheme="minorHAnsi"/>
          <w:color w:val="212121"/>
          <w:sz w:val="18"/>
          <w:szCs w:val="18"/>
        </w:rPr>
      </w:pPr>
    </w:p>
    <w:p w14:paraId="74AB354A" w14:textId="5110E524" w:rsidR="002E3176" w:rsidRPr="002E3176" w:rsidRDefault="002E3176" w:rsidP="002E3176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2E3176">
        <w:rPr>
          <w:rFonts w:asciiTheme="minorHAnsi" w:hAnsiTheme="minorHAnsi" w:cstheme="minorHAnsi"/>
          <w:color w:val="212121"/>
          <w:sz w:val="18"/>
          <w:szCs w:val="18"/>
        </w:rPr>
        <w:t>Traduit</w:t>
      </w:r>
      <w:proofErr w:type="spellEnd"/>
      <w:r w:rsidRPr="002E3176">
        <w:rPr>
          <w:rFonts w:asciiTheme="minorHAnsi" w:hAnsiTheme="minorHAnsi" w:cstheme="minorHAnsi"/>
          <w:color w:val="212121"/>
          <w:sz w:val="18"/>
          <w:szCs w:val="18"/>
        </w:rPr>
        <w:t xml:space="preserve"> et </w:t>
      </w:r>
      <w:proofErr w:type="spellStart"/>
      <w:r w:rsidRPr="002E3176">
        <w:rPr>
          <w:rFonts w:asciiTheme="minorHAnsi" w:hAnsiTheme="minorHAnsi" w:cstheme="minorHAnsi"/>
          <w:color w:val="212121"/>
          <w:sz w:val="18"/>
          <w:szCs w:val="18"/>
        </w:rPr>
        <w:t>adapte</w:t>
      </w:r>
      <w:proofErr w:type="spellEnd"/>
      <w:r w:rsidRPr="002E3176">
        <w:rPr>
          <w:rFonts w:asciiTheme="minorHAnsi" w:hAnsiTheme="minorHAnsi" w:cstheme="minorHAnsi"/>
          <w:color w:val="212121"/>
          <w:sz w:val="18"/>
          <w:szCs w:val="18"/>
        </w:rPr>
        <w:t xml:space="preserve">́ du document : </w:t>
      </w:r>
      <w:r w:rsidRPr="002E3176">
        <w:rPr>
          <w:rFonts w:asciiTheme="minorHAnsi" w:hAnsiTheme="minorHAnsi" w:cstheme="minorHAnsi"/>
          <w:i/>
          <w:iCs/>
          <w:color w:val="212121"/>
          <w:sz w:val="18"/>
          <w:szCs w:val="18"/>
        </w:rPr>
        <w:t xml:space="preserve">The three categories of teaching ‘knowledge’ </w:t>
      </w:r>
      <w:r w:rsidRPr="002E3176">
        <w:rPr>
          <w:rFonts w:asciiTheme="minorHAnsi" w:hAnsiTheme="minorHAnsi" w:cstheme="minorHAnsi"/>
          <w:color w:val="212121"/>
          <w:sz w:val="18"/>
          <w:szCs w:val="18"/>
        </w:rPr>
        <w:t xml:space="preserve">(drawn from </w:t>
      </w:r>
      <w:proofErr w:type="spellStart"/>
      <w:r w:rsidRPr="002E3176">
        <w:rPr>
          <w:rFonts w:asciiTheme="minorHAnsi" w:hAnsiTheme="minorHAnsi" w:cstheme="minorHAnsi"/>
          <w:color w:val="212121"/>
          <w:sz w:val="18"/>
          <w:szCs w:val="18"/>
        </w:rPr>
        <w:t>Cohran</w:t>
      </w:r>
      <w:proofErr w:type="spellEnd"/>
      <w:r w:rsidRPr="002E3176">
        <w:rPr>
          <w:rFonts w:asciiTheme="minorHAnsi" w:hAnsiTheme="minorHAnsi" w:cstheme="minorHAnsi"/>
          <w:color w:val="212121"/>
          <w:sz w:val="18"/>
          <w:szCs w:val="18"/>
        </w:rPr>
        <w:t xml:space="preserve">- Smith and </w:t>
      </w:r>
    </w:p>
    <w:p w14:paraId="7B482CDB" w14:textId="171CBB96" w:rsidR="002E3176" w:rsidRPr="002E3176" w:rsidRDefault="002E3176" w:rsidP="002E3176">
      <w:pPr>
        <w:rPr>
          <w:rFonts w:asciiTheme="minorHAnsi" w:hAnsiTheme="minorHAnsi" w:cstheme="minorHAnsi"/>
          <w:sz w:val="18"/>
          <w:szCs w:val="18"/>
        </w:rPr>
      </w:pPr>
      <w:r w:rsidRPr="002E3176">
        <w:rPr>
          <w:rFonts w:asciiTheme="minorHAnsi" w:hAnsiTheme="minorHAnsi" w:cstheme="minorHAnsi"/>
          <w:color w:val="212121"/>
          <w:sz w:val="18"/>
          <w:szCs w:val="18"/>
        </w:rPr>
        <w:t xml:space="preserve">Lytle, 1999), document du </w:t>
      </w:r>
      <w:proofErr w:type="spellStart"/>
      <w:r w:rsidRPr="002E3176">
        <w:rPr>
          <w:rFonts w:asciiTheme="minorHAnsi" w:hAnsiTheme="minorHAnsi" w:cstheme="minorHAnsi"/>
          <w:color w:val="212121"/>
          <w:sz w:val="18"/>
          <w:szCs w:val="18"/>
        </w:rPr>
        <w:t>cours</w:t>
      </w:r>
      <w:proofErr w:type="spellEnd"/>
      <w:r w:rsidRPr="002E3176">
        <w:rPr>
          <w:rFonts w:asciiTheme="minorHAnsi" w:hAnsiTheme="minorHAnsi" w:cstheme="minorHAnsi"/>
          <w:color w:val="212121"/>
          <w:sz w:val="18"/>
          <w:szCs w:val="18"/>
        </w:rPr>
        <w:t xml:space="preserve"> </w:t>
      </w:r>
      <w:r w:rsidRPr="002E3176">
        <w:rPr>
          <w:rFonts w:asciiTheme="minorHAnsi" w:hAnsiTheme="minorHAnsi" w:cstheme="minorHAnsi"/>
          <w:i/>
          <w:iCs/>
          <w:color w:val="212121"/>
          <w:sz w:val="18"/>
          <w:szCs w:val="18"/>
        </w:rPr>
        <w:t xml:space="preserve">Inclusive Teaching and Learning </w:t>
      </w:r>
      <w:r w:rsidRPr="002E3176">
        <w:rPr>
          <w:rFonts w:asciiTheme="minorHAnsi" w:hAnsiTheme="minorHAnsi" w:cstheme="minorHAnsi"/>
          <w:color w:val="212121"/>
          <w:sz w:val="18"/>
          <w:szCs w:val="18"/>
        </w:rPr>
        <w:t xml:space="preserve"> (</w:t>
      </w:r>
      <w:r w:rsidRPr="002E3176">
        <w:rPr>
          <w:rFonts w:asciiTheme="minorHAnsi" w:hAnsiTheme="minorHAnsi" w:cstheme="minorHAnsi"/>
          <w:color w:val="0000FF"/>
          <w:sz w:val="18"/>
          <w:szCs w:val="18"/>
        </w:rPr>
        <w:t>https://www.open.edu/openlearncreate/mod/book/view.php?id=172068&amp;chapterid=23739</w:t>
      </w:r>
      <w:r>
        <w:rPr>
          <w:rFonts w:asciiTheme="minorHAnsi" w:hAnsiTheme="minorHAnsi" w:cstheme="minorHAnsi"/>
          <w:color w:val="0000FF"/>
          <w:sz w:val="18"/>
          <w:szCs w:val="18"/>
        </w:rPr>
        <w:t>)</w:t>
      </w:r>
    </w:p>
    <w:p w14:paraId="15F0717C" w14:textId="77777777" w:rsidR="00F167D7" w:rsidRPr="002F5777" w:rsidRDefault="00F167D7" w:rsidP="00981D7F">
      <w:pPr>
        <w:pStyle w:val="NormalWeb"/>
        <w:spacing w:before="120" w:beforeAutospacing="0" w:after="120" w:afterAutospacing="0" w:line="276" w:lineRule="auto"/>
        <w:rPr>
          <w:rFonts w:asciiTheme="minorHAnsi" w:hAnsiTheme="minorHAnsi" w:cstheme="minorHAnsi"/>
          <w:lang w:val="fr-FR"/>
        </w:rPr>
      </w:pPr>
    </w:p>
    <w:p w14:paraId="4858FC91" w14:textId="77777777" w:rsidR="00F167D7" w:rsidRPr="002F5777" w:rsidRDefault="00F167D7" w:rsidP="00981D7F">
      <w:pPr>
        <w:spacing w:before="120" w:after="120" w:line="276" w:lineRule="auto"/>
        <w:rPr>
          <w:rFonts w:asciiTheme="minorHAnsi" w:hAnsiTheme="minorHAnsi" w:cstheme="minorHAnsi"/>
          <w:lang w:val="fr-FR"/>
        </w:rPr>
      </w:pPr>
    </w:p>
    <w:p w14:paraId="18DE12BB" w14:textId="77777777" w:rsidR="00F167D7" w:rsidRPr="002F5777" w:rsidRDefault="00F167D7" w:rsidP="00981D7F">
      <w:pPr>
        <w:spacing w:before="120" w:after="120" w:line="276" w:lineRule="auto"/>
        <w:rPr>
          <w:rFonts w:asciiTheme="minorHAnsi" w:hAnsiTheme="minorHAnsi" w:cstheme="minorHAnsi"/>
          <w:lang w:val="fr-FR"/>
        </w:rPr>
      </w:pPr>
    </w:p>
    <w:p w14:paraId="1A81516C" w14:textId="77777777" w:rsidR="00F167D7" w:rsidRPr="002F5777" w:rsidRDefault="00F167D7" w:rsidP="00F167D7">
      <w:pPr>
        <w:rPr>
          <w:lang w:val="fr-FR"/>
        </w:rPr>
      </w:pPr>
    </w:p>
    <w:p w14:paraId="07F8EE7B" w14:textId="56BC7BA0" w:rsidR="00DF780E" w:rsidRPr="002F5777" w:rsidRDefault="00DF780E" w:rsidP="00C17465">
      <w:pPr>
        <w:pStyle w:val="NormalWeb"/>
        <w:rPr>
          <w:rFonts w:asciiTheme="minorHAnsi" w:hAnsiTheme="minorHAnsi" w:cstheme="minorHAnsi"/>
          <w:sz w:val="22"/>
          <w:szCs w:val="22"/>
          <w:lang w:val="fr-FR"/>
        </w:rPr>
      </w:pPr>
    </w:p>
    <w:sectPr w:rsidR="00DF780E" w:rsidRPr="002F5777" w:rsidSect="0015771F">
      <w:footerReference w:type="default" r:id="rId7"/>
      <w:pgSz w:w="11900" w:h="16840"/>
      <w:pgMar w:top="75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9DB5" w14:textId="77777777" w:rsidR="00906E43" w:rsidRDefault="00906E43" w:rsidP="00C17465">
      <w:r>
        <w:separator/>
      </w:r>
    </w:p>
  </w:endnote>
  <w:endnote w:type="continuationSeparator" w:id="0">
    <w:p w14:paraId="2FD8B75D" w14:textId="77777777" w:rsidR="00906E43" w:rsidRDefault="00906E43" w:rsidP="00C1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9D9F" w14:textId="6222C202" w:rsidR="00C17465" w:rsidRDefault="00C17465" w:rsidP="00C17465">
    <w:pPr>
      <w:pStyle w:val="Footer"/>
      <w:jc w:val="right"/>
    </w:pPr>
    <w:r w:rsidRPr="00C17465">
      <w:rPr>
        <w:noProof/>
      </w:rPr>
      <w:drawing>
        <wp:inline distT="0" distB="0" distL="0" distR="0" wp14:anchorId="6A79B192" wp14:editId="7EE4F7DA">
          <wp:extent cx="515769" cy="180000"/>
          <wp:effectExtent l="0" t="0" r="5080" b="0"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6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8593" w14:textId="77777777" w:rsidR="00906E43" w:rsidRDefault="00906E43" w:rsidP="00C17465">
      <w:r>
        <w:separator/>
      </w:r>
    </w:p>
  </w:footnote>
  <w:footnote w:type="continuationSeparator" w:id="0">
    <w:p w14:paraId="31972305" w14:textId="77777777" w:rsidR="00906E43" w:rsidRDefault="00906E43" w:rsidP="00C1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5"/>
    <w:rsid w:val="00007866"/>
    <w:rsid w:val="00065D0A"/>
    <w:rsid w:val="00087B56"/>
    <w:rsid w:val="000911BB"/>
    <w:rsid w:val="000B3EEC"/>
    <w:rsid w:val="0015771F"/>
    <w:rsid w:val="002825F4"/>
    <w:rsid w:val="002A65FE"/>
    <w:rsid w:val="002E3176"/>
    <w:rsid w:val="002F5777"/>
    <w:rsid w:val="00360654"/>
    <w:rsid w:val="00373811"/>
    <w:rsid w:val="003B07DF"/>
    <w:rsid w:val="003F6886"/>
    <w:rsid w:val="00551842"/>
    <w:rsid w:val="005B5910"/>
    <w:rsid w:val="006042AA"/>
    <w:rsid w:val="00645A37"/>
    <w:rsid w:val="006552AC"/>
    <w:rsid w:val="006B2DDA"/>
    <w:rsid w:val="00752092"/>
    <w:rsid w:val="008D7458"/>
    <w:rsid w:val="00906E43"/>
    <w:rsid w:val="0095049F"/>
    <w:rsid w:val="00981D7F"/>
    <w:rsid w:val="00A4713E"/>
    <w:rsid w:val="00AF74CD"/>
    <w:rsid w:val="00B102B2"/>
    <w:rsid w:val="00C17465"/>
    <w:rsid w:val="00D20889"/>
    <w:rsid w:val="00D21770"/>
    <w:rsid w:val="00DB5018"/>
    <w:rsid w:val="00DF780E"/>
    <w:rsid w:val="00E85C6A"/>
    <w:rsid w:val="00F1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86465D"/>
  <w15:chartTrackingRefBased/>
  <w15:docId w15:val="{0E40CBBD-485C-B143-A3F2-8CEDF2DF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6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46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1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46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17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465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1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A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A3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A3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Deane</dc:creator>
  <cp:keywords/>
  <dc:description/>
  <cp:lastModifiedBy>Michèle Deane</cp:lastModifiedBy>
  <cp:revision>3</cp:revision>
  <dcterms:created xsi:type="dcterms:W3CDTF">2022-01-08T14:12:00Z</dcterms:created>
  <dcterms:modified xsi:type="dcterms:W3CDTF">2022-01-09T14:50:00Z</dcterms:modified>
</cp:coreProperties>
</file>