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F083" w14:textId="1657693A" w:rsidR="009C3319" w:rsidRPr="008A243F" w:rsidRDefault="009C3319" w:rsidP="009C3319">
      <w:pPr>
        <w:jc w:val="center"/>
        <w:rPr>
          <w:rFonts w:ascii="Gadugi" w:eastAsia="Times New Roman" w:hAnsi="Gadugi" w:cstheme="minorHAnsi"/>
          <w:b/>
          <w:color w:val="2F5496" w:themeColor="accent1" w:themeShade="BF"/>
          <w:sz w:val="72"/>
          <w:szCs w:val="72"/>
          <w:lang w:val="en-GB" w:eastAsia="ja-JP" w:bidi="ar-SA"/>
        </w:rPr>
      </w:pPr>
      <w:r w:rsidRPr="008A243F">
        <w:rPr>
          <w:rFonts w:ascii="Gadugi" w:eastAsia="Times New Roman" w:hAnsi="Gadugi" w:cstheme="minorHAnsi"/>
          <w:b/>
          <w:color w:val="2F5496" w:themeColor="accent1" w:themeShade="BF"/>
          <w:sz w:val="72"/>
          <w:szCs w:val="72"/>
          <w:lang w:val="en-GB" w:eastAsia="ja-JP" w:bidi="ar-SA"/>
        </w:rPr>
        <w:t>Inclusive Teaching Practice</w:t>
      </w:r>
    </w:p>
    <w:p w14:paraId="6B87AB2F" w14:textId="618E7AA2" w:rsidR="00E229B7" w:rsidRDefault="00E229B7" w:rsidP="00E229B7">
      <w:pPr>
        <w:jc w:val="center"/>
        <w:rPr>
          <w:rFonts w:ascii="Gadugi" w:eastAsia="Times New Roman" w:hAnsi="Gadugi" w:cstheme="minorHAnsi"/>
          <w:b/>
          <w:color w:val="2F5496" w:themeColor="accent1" w:themeShade="BF"/>
          <w:sz w:val="48"/>
          <w:szCs w:val="48"/>
          <w:lang w:val="en-GB" w:eastAsia="ja-JP" w:bidi="ar-SA"/>
        </w:rPr>
      </w:pPr>
      <w:r w:rsidRPr="0067712E">
        <w:rPr>
          <w:rFonts w:ascii="Gadugi" w:eastAsia="Times New Roman" w:hAnsi="Gadugi" w:cstheme="minorHAnsi"/>
          <w:b/>
          <w:color w:val="2F5496" w:themeColor="accent1" w:themeShade="BF"/>
          <w:sz w:val="48"/>
          <w:szCs w:val="48"/>
          <w:lang w:val="en-GB" w:eastAsia="ja-JP" w:bidi="ar-SA"/>
        </w:rPr>
        <w:t>Facilitator</w:t>
      </w:r>
      <w:r w:rsidR="00CF749F" w:rsidRPr="0067712E">
        <w:rPr>
          <w:rFonts w:ascii="Gadugi" w:eastAsia="Times New Roman" w:hAnsi="Gadugi" w:cstheme="minorHAnsi"/>
          <w:b/>
          <w:color w:val="2F5496" w:themeColor="accent1" w:themeShade="BF"/>
          <w:sz w:val="48"/>
          <w:szCs w:val="48"/>
          <w:lang w:val="en-GB" w:eastAsia="ja-JP" w:bidi="ar-SA"/>
        </w:rPr>
        <w:t>’s</w:t>
      </w:r>
      <w:r w:rsidRPr="0067712E">
        <w:rPr>
          <w:rFonts w:ascii="Gadugi" w:eastAsia="Times New Roman" w:hAnsi="Gadugi" w:cstheme="minorHAnsi"/>
          <w:b/>
          <w:color w:val="2F5496" w:themeColor="accent1" w:themeShade="BF"/>
          <w:sz w:val="48"/>
          <w:szCs w:val="48"/>
          <w:lang w:val="en-GB" w:eastAsia="ja-JP" w:bidi="ar-SA"/>
        </w:rPr>
        <w:t xml:space="preserve"> Guide</w:t>
      </w:r>
    </w:p>
    <w:p w14:paraId="29EA8422" w14:textId="0139AD7A" w:rsidR="00B40A80" w:rsidRPr="000A0137" w:rsidRDefault="000A0137" w:rsidP="000A0137">
      <w:pPr>
        <w:jc w:val="center"/>
        <w:rPr>
          <w:rFonts w:ascii="Gadugi" w:eastAsia="Times New Roman" w:hAnsi="Gadugi" w:cstheme="minorHAnsi"/>
          <w:b/>
          <w:color w:val="2F5496" w:themeColor="accent1" w:themeShade="BF"/>
          <w:sz w:val="48"/>
          <w:szCs w:val="48"/>
          <w:lang w:val="en-GB" w:eastAsia="ja-JP" w:bidi="ar-SA"/>
        </w:rPr>
      </w:pPr>
      <w:r>
        <w:rPr>
          <w:rFonts w:ascii="Gadugi" w:eastAsia="Times New Roman" w:hAnsi="Gadugi" w:cstheme="minorHAnsi"/>
          <w:b/>
          <w:noProof/>
          <w:color w:val="2F5496" w:themeColor="accent1" w:themeShade="BF"/>
          <w:sz w:val="48"/>
          <w:szCs w:val="48"/>
          <w:lang w:val="en-GB" w:eastAsia="ja-JP" w:bidi="ar-SA"/>
        </w:rPr>
        <w:drawing>
          <wp:inline distT="0" distB="0" distL="0" distR="0" wp14:anchorId="2EA138D1" wp14:editId="3A166311">
            <wp:extent cx="4664075" cy="31089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3108960"/>
                    </a:xfrm>
                    <a:prstGeom prst="rect">
                      <a:avLst/>
                    </a:prstGeom>
                    <a:noFill/>
                  </pic:spPr>
                </pic:pic>
              </a:graphicData>
            </a:graphic>
          </wp:inline>
        </w:drawing>
      </w:r>
      <w:bookmarkStart w:id="0" w:name="_Hlk73626015"/>
      <w:bookmarkEnd w:id="0"/>
    </w:p>
    <w:p w14:paraId="71F77F29" w14:textId="1B626C89" w:rsidR="009C3319" w:rsidRPr="0080794C" w:rsidRDefault="009C3319" w:rsidP="009C3319">
      <w:pPr>
        <w:jc w:val="center"/>
        <w:rPr>
          <w:rFonts w:ascii="Gadugi" w:hAnsi="Gadugi"/>
          <w:sz w:val="18"/>
          <w:szCs w:val="18"/>
        </w:rPr>
      </w:pPr>
      <w:r w:rsidRPr="0080794C">
        <w:rPr>
          <w:rFonts w:ascii="Gadugi" w:hAnsi="Gadugi"/>
          <w:sz w:val="18"/>
          <w:szCs w:val="18"/>
        </w:rPr>
        <w:t xml:space="preserve">Source: </w:t>
      </w:r>
      <w:r w:rsidR="00554ECC" w:rsidRPr="0080794C">
        <w:rPr>
          <w:rFonts w:ascii="Gadugi" w:hAnsi="Gadugi"/>
          <w:sz w:val="18"/>
          <w:szCs w:val="18"/>
        </w:rPr>
        <w:t>VSO Image library</w:t>
      </w:r>
    </w:p>
    <w:p w14:paraId="232A2B53" w14:textId="65010B27" w:rsidR="009C3319" w:rsidRPr="00CC26EB" w:rsidRDefault="009C3319" w:rsidP="009C3319">
      <w:pPr>
        <w:jc w:val="center"/>
        <w:rPr>
          <w:color w:val="44546A" w:themeColor="text2"/>
          <w:sz w:val="18"/>
          <w:szCs w:val="18"/>
        </w:rPr>
      </w:pPr>
    </w:p>
    <w:p w14:paraId="6C7326CE" w14:textId="4014461B" w:rsidR="009C3319" w:rsidRPr="0080794C" w:rsidRDefault="009C3319" w:rsidP="009C3319">
      <w:pPr>
        <w:jc w:val="center"/>
        <w:rPr>
          <w:rFonts w:ascii="Gadugi" w:eastAsia="Times New Roman" w:hAnsi="Gadugi" w:cstheme="minorHAnsi"/>
          <w:b/>
          <w:color w:val="2F5496" w:themeColor="accent1" w:themeShade="BF"/>
          <w:sz w:val="72"/>
          <w:szCs w:val="72"/>
          <w:lang w:val="en-GB" w:eastAsia="ja-JP" w:bidi="ar-SA"/>
        </w:rPr>
      </w:pPr>
      <w:bookmarkStart w:id="1" w:name="_Hlk89413698"/>
      <w:r w:rsidRPr="0080794C">
        <w:rPr>
          <w:rFonts w:ascii="Gadugi" w:eastAsia="Times New Roman" w:hAnsi="Gadugi" w:cstheme="minorHAnsi"/>
          <w:b/>
          <w:color w:val="2F5496" w:themeColor="accent1" w:themeShade="BF"/>
          <w:sz w:val="72"/>
          <w:szCs w:val="72"/>
          <w:lang w:val="en-GB" w:eastAsia="ja-JP" w:bidi="ar-SA"/>
        </w:rPr>
        <w:t>Module</w:t>
      </w:r>
      <w:r w:rsidR="0066016F">
        <w:rPr>
          <w:rFonts w:ascii="Gadugi" w:eastAsia="Times New Roman" w:hAnsi="Gadugi" w:cstheme="minorHAnsi"/>
          <w:b/>
          <w:color w:val="2F5496" w:themeColor="accent1" w:themeShade="BF"/>
          <w:sz w:val="72"/>
          <w:szCs w:val="72"/>
          <w:lang w:val="en-GB" w:eastAsia="ja-JP" w:bidi="ar-SA"/>
        </w:rPr>
        <w:t xml:space="preserve"> </w:t>
      </w:r>
      <w:r w:rsidR="000A0137">
        <w:rPr>
          <w:rFonts w:ascii="Gadugi" w:eastAsia="Times New Roman" w:hAnsi="Gadugi" w:cstheme="minorHAnsi"/>
          <w:b/>
          <w:color w:val="2F5496" w:themeColor="accent1" w:themeShade="BF"/>
          <w:sz w:val="72"/>
          <w:szCs w:val="72"/>
          <w:lang w:val="en-GB" w:eastAsia="ja-JP" w:bidi="ar-SA"/>
        </w:rPr>
        <w:t>10</w:t>
      </w:r>
      <w:r w:rsidR="0066016F">
        <w:rPr>
          <w:rFonts w:ascii="Gadugi" w:eastAsia="Times New Roman" w:hAnsi="Gadugi" w:cstheme="minorHAnsi"/>
          <w:b/>
          <w:color w:val="2F5496" w:themeColor="accent1" w:themeShade="BF"/>
          <w:sz w:val="72"/>
          <w:szCs w:val="72"/>
          <w:lang w:val="en-GB" w:eastAsia="ja-JP" w:bidi="ar-SA"/>
        </w:rPr>
        <w:t>:</w:t>
      </w:r>
    </w:p>
    <w:p w14:paraId="460651F7" w14:textId="50306E7F" w:rsidR="006527D0" w:rsidRDefault="000A0137" w:rsidP="000A0137">
      <w:pPr>
        <w:jc w:val="center"/>
        <w:rPr>
          <w:rFonts w:ascii="Gadugi" w:eastAsia="Calibri" w:hAnsi="Gadugi" w:cstheme="minorHAnsi"/>
          <w:b/>
          <w:color w:val="2F5496" w:themeColor="accent1" w:themeShade="BF"/>
          <w:kern w:val="1"/>
          <w:sz w:val="72"/>
          <w:szCs w:val="72"/>
          <w:lang w:eastAsia="en-GB" w:bidi="ar-SA"/>
        </w:rPr>
      </w:pPr>
      <w:bookmarkStart w:id="2" w:name="_Hlk75895758"/>
      <w:bookmarkStart w:id="3" w:name="_Hlk72830571"/>
      <w:r w:rsidRPr="000A0137">
        <w:rPr>
          <w:rFonts w:ascii="Gadugi" w:eastAsia="Calibri" w:hAnsi="Gadugi" w:cstheme="minorHAnsi"/>
          <w:b/>
          <w:color w:val="2F5496" w:themeColor="accent1" w:themeShade="BF"/>
          <w:kern w:val="1"/>
          <w:sz w:val="72"/>
          <w:szCs w:val="72"/>
          <w:lang w:eastAsia="en-GB" w:bidi="ar-SA"/>
        </w:rPr>
        <w:t>Legal framework and policies around Inclusion in Myanmar</w:t>
      </w:r>
    </w:p>
    <w:bookmarkEnd w:id="1"/>
    <w:p w14:paraId="6D0BEBE7" w14:textId="77777777" w:rsidR="000A0137" w:rsidRPr="000A0137" w:rsidRDefault="000A0137" w:rsidP="000A0137">
      <w:pPr>
        <w:jc w:val="center"/>
        <w:rPr>
          <w:rFonts w:ascii="Gadugi" w:eastAsia="Calibri" w:hAnsi="Gadugi" w:cstheme="minorHAnsi"/>
          <w:b/>
          <w:color w:val="2F5496" w:themeColor="accent1" w:themeShade="BF"/>
          <w:kern w:val="1"/>
          <w:sz w:val="72"/>
          <w:szCs w:val="72"/>
          <w:lang w:eastAsia="en-GB" w:bidi="ar-SA"/>
        </w:rPr>
      </w:pPr>
    </w:p>
    <w:bookmarkEnd w:id="2"/>
    <w:p w14:paraId="745D236E" w14:textId="77777777" w:rsidR="000A0137" w:rsidRPr="000A0137" w:rsidRDefault="000A0137" w:rsidP="000A0137">
      <w:pPr>
        <w:rPr>
          <w:rFonts w:asciiTheme="majorHAnsi" w:eastAsiaTheme="majorEastAsia" w:hAnsiTheme="majorHAnsi" w:cstheme="majorBidi"/>
          <w:color w:val="2F5496" w:themeColor="accent1" w:themeShade="BF"/>
          <w:spacing w:val="-10"/>
          <w:kern w:val="28"/>
          <w:sz w:val="56"/>
          <w:szCs w:val="56"/>
        </w:rPr>
      </w:pPr>
      <w:r w:rsidRPr="000A0137">
        <w:rPr>
          <w:rFonts w:asciiTheme="majorHAnsi" w:eastAsiaTheme="majorEastAsia" w:hAnsiTheme="majorHAnsi" w:cstheme="majorBidi"/>
          <w:color w:val="2F5496" w:themeColor="accent1" w:themeShade="BF"/>
          <w:spacing w:val="-10"/>
          <w:kern w:val="28"/>
          <w:sz w:val="56"/>
          <w:szCs w:val="56"/>
        </w:rPr>
        <w:lastRenderedPageBreak/>
        <w:t>Module 10:</w:t>
      </w:r>
    </w:p>
    <w:p w14:paraId="4488C59F" w14:textId="342532CA" w:rsidR="0042157F" w:rsidRPr="00AE34DA" w:rsidRDefault="000A0137" w:rsidP="000A0137">
      <w:pPr>
        <w:rPr>
          <w:rFonts w:ascii="Gadugi" w:eastAsia="Times New Roman" w:hAnsi="Gadugi" w:cstheme="minorHAnsi"/>
          <w:b/>
          <w:color w:val="2F5496" w:themeColor="accent1" w:themeShade="BF"/>
          <w:sz w:val="72"/>
          <w:szCs w:val="72"/>
          <w:lang w:val="en-GB" w:eastAsia="ja-JP" w:bidi="ar-SA"/>
        </w:rPr>
      </w:pPr>
      <w:r w:rsidRPr="000A0137">
        <w:rPr>
          <w:rFonts w:asciiTheme="majorHAnsi" w:eastAsiaTheme="majorEastAsia" w:hAnsiTheme="majorHAnsi" w:cstheme="majorBidi"/>
          <w:color w:val="2F5496" w:themeColor="accent1" w:themeShade="BF"/>
          <w:spacing w:val="-10"/>
          <w:kern w:val="28"/>
          <w:sz w:val="56"/>
          <w:szCs w:val="56"/>
        </w:rPr>
        <w:t>Legal framework and policies around Inclusion in Myanmar</w:t>
      </w:r>
      <w:r w:rsidR="006527D0">
        <w:rPr>
          <w:rFonts w:asciiTheme="majorHAnsi" w:eastAsiaTheme="majorEastAsia" w:hAnsiTheme="majorHAnsi" w:cstheme="majorBidi"/>
          <w:color w:val="2F5496" w:themeColor="accent1" w:themeShade="BF"/>
          <w:spacing w:val="-10"/>
          <w:kern w:val="28"/>
          <w:sz w:val="56"/>
          <w:szCs w:val="56"/>
        </w:rPr>
        <w:t>.</w:t>
      </w:r>
      <w:r w:rsidR="0042157F">
        <w:rPr>
          <w:rFonts w:asciiTheme="majorHAnsi" w:eastAsiaTheme="majorEastAsia" w:hAnsiTheme="majorHAnsi" w:cstheme="majorBidi"/>
          <w:color w:val="2F5496" w:themeColor="accent1" w:themeShade="BF"/>
          <w:spacing w:val="-10"/>
          <w:kern w:val="28"/>
          <w:sz w:val="56"/>
          <w:szCs w:val="56"/>
        </w:rPr>
        <w:t xml:space="preserve"> </w:t>
      </w:r>
    </w:p>
    <w:bookmarkEnd w:id="3"/>
    <w:p w14:paraId="3B36F492" w14:textId="77777777" w:rsidR="00D459F9" w:rsidRPr="000854CA" w:rsidRDefault="00D459F9" w:rsidP="00ED7F2D">
      <w:pPr>
        <w:pStyle w:val="Heading1"/>
        <w:rPr>
          <w:rFonts w:eastAsia="Times New Roman" w:cstheme="majorHAnsi"/>
          <w:b/>
          <w:bCs/>
          <w:sz w:val="26"/>
          <w:szCs w:val="26"/>
        </w:rPr>
      </w:pPr>
      <w:r w:rsidRPr="000854CA">
        <w:rPr>
          <w:rFonts w:eastAsia="Times New Roman" w:cstheme="majorHAnsi"/>
          <w:b/>
          <w:bCs/>
          <w:sz w:val="26"/>
          <w:szCs w:val="26"/>
        </w:rPr>
        <w:t>Overview</w:t>
      </w:r>
    </w:p>
    <w:p w14:paraId="465160D3" w14:textId="6CB95940" w:rsidR="00D459F9" w:rsidRDefault="00D459F9" w:rsidP="00D459F9">
      <w:pPr>
        <w:spacing w:line="240" w:lineRule="auto"/>
        <w:rPr>
          <w:rFonts w:ascii="Gadugi" w:eastAsia="Calibri" w:hAnsi="Gadugi" w:cs="Calibri"/>
          <w:kern w:val="1"/>
          <w:sz w:val="22"/>
          <w:lang w:val="en-GB" w:eastAsia="en-GB" w:bidi="ar-SA"/>
        </w:rPr>
      </w:pPr>
      <w:r w:rsidRPr="00E636E3">
        <w:rPr>
          <w:rFonts w:ascii="Gadugi" w:eastAsia="Calibri" w:hAnsi="Gadugi" w:cstheme="minorHAnsi"/>
          <w:kern w:val="1"/>
          <w:sz w:val="22"/>
          <w:lang w:val="en-GB" w:eastAsia="en-GB" w:bidi="ar-SA"/>
        </w:rPr>
        <w:t xml:space="preserve">This is the </w:t>
      </w:r>
      <w:r w:rsidR="000A0137">
        <w:rPr>
          <w:rFonts w:ascii="Gadugi" w:eastAsia="Calibri" w:hAnsi="Gadugi" w:cstheme="minorHAnsi"/>
          <w:b/>
          <w:bCs/>
          <w:kern w:val="1"/>
          <w:sz w:val="22"/>
          <w:lang w:val="en-GB" w:eastAsia="en-GB" w:bidi="ar-SA"/>
        </w:rPr>
        <w:t>tenth</w:t>
      </w:r>
      <w:r w:rsidRPr="00E636E3">
        <w:rPr>
          <w:rFonts w:ascii="Gadugi" w:eastAsia="Calibri" w:hAnsi="Gadugi" w:cstheme="minorHAnsi"/>
          <w:b/>
          <w:bCs/>
          <w:kern w:val="1"/>
          <w:sz w:val="22"/>
          <w:lang w:val="en-GB" w:eastAsia="en-GB" w:bidi="ar-SA"/>
        </w:rPr>
        <w:t xml:space="preserve"> of f</w:t>
      </w:r>
      <w:r w:rsidR="001D437E">
        <w:rPr>
          <w:rFonts w:ascii="Gadugi" w:eastAsia="Calibri" w:hAnsi="Gadugi" w:cstheme="minorHAnsi"/>
          <w:b/>
          <w:bCs/>
          <w:kern w:val="1"/>
          <w:sz w:val="22"/>
          <w:lang w:val="en-GB" w:eastAsia="en-GB" w:bidi="ar-SA"/>
        </w:rPr>
        <w:t>if</w:t>
      </w:r>
      <w:r w:rsidRPr="00E636E3">
        <w:rPr>
          <w:rFonts w:ascii="Gadugi" w:eastAsia="Calibri" w:hAnsi="Gadugi" w:cstheme="minorHAnsi"/>
          <w:b/>
          <w:bCs/>
          <w:kern w:val="1"/>
          <w:sz w:val="22"/>
          <w:lang w:val="en-GB" w:eastAsia="en-GB" w:bidi="ar-SA"/>
        </w:rPr>
        <w:t>teen modules</w:t>
      </w:r>
      <w:r w:rsidRPr="00E636E3">
        <w:rPr>
          <w:rFonts w:ascii="Gadugi" w:eastAsia="Calibri" w:hAnsi="Gadugi" w:cstheme="minorHAnsi"/>
          <w:sz w:val="22"/>
        </w:rPr>
        <w:t xml:space="preserve"> that look at how we create a positive Inclusive Learning Environment for all. </w:t>
      </w:r>
      <w:r w:rsidRPr="00043674">
        <w:rPr>
          <w:rFonts w:ascii="Gadugi" w:eastAsia="Calibri" w:hAnsi="Gadugi" w:cs="Times New Roman"/>
          <w:sz w:val="22"/>
        </w:rPr>
        <w:t>You will see how inclusive teaching practices encourage, develop and use the 21</w:t>
      </w:r>
      <w:r w:rsidRPr="00043674">
        <w:rPr>
          <w:rFonts w:ascii="Gadugi" w:eastAsia="Calibri" w:hAnsi="Gadugi" w:cs="Times New Roman"/>
          <w:sz w:val="22"/>
          <w:vertAlign w:val="superscript"/>
        </w:rPr>
        <w:t>st</w:t>
      </w:r>
      <w:r w:rsidRPr="00043674">
        <w:rPr>
          <w:rFonts w:ascii="Gadugi" w:eastAsia="Calibri" w:hAnsi="Gadugi" w:cs="Times New Roman"/>
          <w:sz w:val="22"/>
        </w:rPr>
        <w:t xml:space="preserve"> century skills of critical thinking, communication, collaboration and creativity. </w:t>
      </w:r>
      <w:r w:rsidRPr="00043674">
        <w:rPr>
          <w:rFonts w:ascii="Gadugi" w:eastAsia="Calibri" w:hAnsi="Gadugi" w:cs="Calibri"/>
          <w:kern w:val="1"/>
          <w:sz w:val="22"/>
          <w:lang w:val="en-GB" w:eastAsia="en-GB" w:bidi="ar-SA"/>
        </w:rPr>
        <w:t>These modules are for any educators or those studying in education in Myanmar. The terms student and learner are used interchangeably throughout the module.</w:t>
      </w:r>
    </w:p>
    <w:p w14:paraId="0CF655F0" w14:textId="77777777" w:rsidR="00A148FC" w:rsidRDefault="00A148FC" w:rsidP="00D459F9">
      <w:pPr>
        <w:spacing w:line="240" w:lineRule="auto"/>
        <w:rPr>
          <w:rFonts w:ascii="Gadugi" w:eastAsia="Calibri" w:hAnsi="Gadugi" w:cs="Calibri"/>
          <w:kern w:val="1"/>
          <w:sz w:val="22"/>
          <w:lang w:val="en-GB" w:eastAsia="en-GB" w:bidi="ar-SA"/>
        </w:rPr>
      </w:pPr>
    </w:p>
    <w:tbl>
      <w:tblPr>
        <w:tblStyle w:val="TableGrid"/>
        <w:tblW w:w="7770" w:type="dxa"/>
        <w:tblInd w:w="983" w:type="dxa"/>
        <w:tblLook w:val="04A0" w:firstRow="1" w:lastRow="0" w:firstColumn="1" w:lastColumn="0" w:noHBand="0" w:noVBand="1"/>
      </w:tblPr>
      <w:tblGrid>
        <w:gridCol w:w="990"/>
        <w:gridCol w:w="6780"/>
      </w:tblGrid>
      <w:tr w:rsidR="00A148FC" w:rsidRPr="004144EA" w14:paraId="6DD6F0B4" w14:textId="77777777" w:rsidTr="00D02C98">
        <w:tc>
          <w:tcPr>
            <w:tcW w:w="990" w:type="dxa"/>
          </w:tcPr>
          <w:p w14:paraId="30CBD01C" w14:textId="77777777" w:rsidR="00A148FC" w:rsidRPr="004144EA" w:rsidRDefault="00A148FC" w:rsidP="00D02C98">
            <w:pPr>
              <w:jc w:val="center"/>
              <w:rPr>
                <w:rFonts w:ascii="Gadugi" w:eastAsia="Calibri" w:hAnsi="Gadugi" w:cs="Calibri"/>
                <w:kern w:val="1"/>
                <w:sz w:val="22"/>
                <w:lang w:eastAsia="en-GB" w:bidi="ar-SA"/>
              </w:rPr>
            </w:pPr>
            <w:r w:rsidRPr="004144EA">
              <w:rPr>
                <w:rFonts w:ascii="Gadugi" w:eastAsia="Calibri" w:hAnsi="Gadugi" w:cs="Calibri"/>
                <w:kern w:val="1"/>
                <w:sz w:val="22"/>
                <w:lang w:eastAsia="en-GB" w:bidi="ar-SA"/>
              </w:rPr>
              <w:t>Module number</w:t>
            </w:r>
          </w:p>
        </w:tc>
        <w:tc>
          <w:tcPr>
            <w:tcW w:w="6780" w:type="dxa"/>
          </w:tcPr>
          <w:p w14:paraId="15FB8982" w14:textId="77777777" w:rsidR="00A148FC" w:rsidRPr="004144EA" w:rsidRDefault="00A148FC" w:rsidP="00D02C98">
            <w:pPr>
              <w:jc w:val="center"/>
              <w:rPr>
                <w:rFonts w:ascii="Gadugi" w:eastAsia="Calibri" w:hAnsi="Gadugi" w:cs="Calibri"/>
                <w:kern w:val="1"/>
                <w:sz w:val="22"/>
                <w:lang w:eastAsia="en-GB" w:bidi="ar-SA"/>
              </w:rPr>
            </w:pPr>
            <w:r w:rsidRPr="004144EA">
              <w:rPr>
                <w:rFonts w:ascii="Gadugi" w:eastAsia="Calibri" w:hAnsi="Gadugi" w:cs="Calibri"/>
                <w:kern w:val="1"/>
                <w:sz w:val="22"/>
                <w:lang w:eastAsia="en-GB" w:bidi="ar-SA"/>
              </w:rPr>
              <w:t>Module title</w:t>
            </w:r>
          </w:p>
        </w:tc>
      </w:tr>
      <w:tr w:rsidR="00A148FC" w:rsidRPr="004144EA" w14:paraId="3339D5BF" w14:textId="77777777" w:rsidTr="00D02C98">
        <w:tc>
          <w:tcPr>
            <w:tcW w:w="990" w:type="dxa"/>
          </w:tcPr>
          <w:p w14:paraId="69DD173C"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w:t>
            </w:r>
          </w:p>
        </w:tc>
        <w:tc>
          <w:tcPr>
            <w:tcW w:w="6780" w:type="dxa"/>
          </w:tcPr>
          <w:p w14:paraId="61D13DB9"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What is an Inclusive School, Classroom and Teacher?</w:t>
            </w:r>
          </w:p>
        </w:tc>
      </w:tr>
      <w:tr w:rsidR="00A148FC" w:rsidRPr="004144EA" w14:paraId="6A5ABD62" w14:textId="77777777" w:rsidTr="00D02C98">
        <w:tc>
          <w:tcPr>
            <w:tcW w:w="990" w:type="dxa"/>
          </w:tcPr>
          <w:p w14:paraId="4CC9DDAC" w14:textId="77777777" w:rsidR="00A148FC" w:rsidRPr="000A0137" w:rsidRDefault="00A148FC" w:rsidP="00D02C98">
            <w:pPr>
              <w:rPr>
                <w:rFonts w:ascii="Gadugi" w:eastAsia="Calibri" w:hAnsi="Gadugi" w:cs="Calibri"/>
                <w:kern w:val="1"/>
                <w:sz w:val="22"/>
                <w:lang w:eastAsia="en-GB" w:bidi="ar-SA"/>
              </w:rPr>
            </w:pPr>
            <w:r w:rsidRPr="000A0137">
              <w:rPr>
                <w:rFonts w:ascii="Gadugi" w:eastAsia="Calibri" w:hAnsi="Gadugi" w:cs="Calibri"/>
                <w:kern w:val="1"/>
                <w:sz w:val="22"/>
                <w:lang w:eastAsia="en-GB" w:bidi="ar-SA"/>
              </w:rPr>
              <w:t>2</w:t>
            </w:r>
          </w:p>
        </w:tc>
        <w:tc>
          <w:tcPr>
            <w:tcW w:w="6780" w:type="dxa"/>
          </w:tcPr>
          <w:p w14:paraId="7749EECA" w14:textId="77777777" w:rsidR="00A148FC" w:rsidRPr="000A0137" w:rsidRDefault="00A148FC" w:rsidP="00D02C98">
            <w:pPr>
              <w:rPr>
                <w:rFonts w:ascii="Gadugi" w:eastAsia="Calibri" w:hAnsi="Gadugi" w:cs="Calibri"/>
                <w:kern w:val="1"/>
                <w:sz w:val="22"/>
                <w:lang w:eastAsia="en-GB" w:bidi="ar-SA"/>
              </w:rPr>
            </w:pPr>
            <w:r w:rsidRPr="000A0137">
              <w:rPr>
                <w:rFonts w:ascii="Gadugi" w:eastAsia="Calibri" w:hAnsi="Gadugi" w:cs="Calibri"/>
                <w:kern w:val="1"/>
                <w:sz w:val="22"/>
                <w:lang w:eastAsia="en-GB" w:bidi="ar-SA"/>
              </w:rPr>
              <w:t>Knowing your learners</w:t>
            </w:r>
          </w:p>
        </w:tc>
      </w:tr>
      <w:tr w:rsidR="00A148FC" w:rsidRPr="004144EA" w14:paraId="2E90044A" w14:textId="77777777" w:rsidTr="00D02C98">
        <w:tc>
          <w:tcPr>
            <w:tcW w:w="990" w:type="dxa"/>
          </w:tcPr>
          <w:p w14:paraId="36203823"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3</w:t>
            </w:r>
          </w:p>
        </w:tc>
        <w:tc>
          <w:tcPr>
            <w:tcW w:w="6780" w:type="dxa"/>
          </w:tcPr>
          <w:p w14:paraId="0D1660E6" w14:textId="77777777" w:rsidR="00A148FC" w:rsidRPr="004144EA" w:rsidRDefault="00A148FC"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Planning learning outcomes for all</w:t>
            </w:r>
          </w:p>
        </w:tc>
      </w:tr>
      <w:tr w:rsidR="00A148FC" w:rsidRPr="004144EA" w14:paraId="165F8083" w14:textId="77777777" w:rsidTr="00D02C98">
        <w:tc>
          <w:tcPr>
            <w:tcW w:w="990" w:type="dxa"/>
          </w:tcPr>
          <w:p w14:paraId="66014F37"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4</w:t>
            </w:r>
          </w:p>
        </w:tc>
        <w:tc>
          <w:tcPr>
            <w:tcW w:w="6780" w:type="dxa"/>
          </w:tcPr>
          <w:p w14:paraId="5B48E3FE"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Participating through learner centred approaches </w:t>
            </w:r>
          </w:p>
        </w:tc>
      </w:tr>
      <w:tr w:rsidR="00A148FC" w:rsidRPr="004144EA" w14:paraId="16B70E21" w14:textId="77777777" w:rsidTr="00D02C98">
        <w:trPr>
          <w:trHeight w:val="50"/>
        </w:trPr>
        <w:tc>
          <w:tcPr>
            <w:tcW w:w="990" w:type="dxa"/>
          </w:tcPr>
          <w:p w14:paraId="68D1D104"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5</w:t>
            </w:r>
          </w:p>
        </w:tc>
        <w:tc>
          <w:tcPr>
            <w:tcW w:w="6780" w:type="dxa"/>
          </w:tcPr>
          <w:p w14:paraId="544C85D5"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Creating a positive learning environment </w:t>
            </w:r>
          </w:p>
        </w:tc>
      </w:tr>
      <w:tr w:rsidR="00A148FC" w:rsidRPr="004144EA" w14:paraId="5D1294CB" w14:textId="77777777" w:rsidTr="00D02C98">
        <w:trPr>
          <w:trHeight w:val="50"/>
        </w:trPr>
        <w:tc>
          <w:tcPr>
            <w:tcW w:w="990" w:type="dxa"/>
          </w:tcPr>
          <w:p w14:paraId="07A5C1FD"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6</w:t>
            </w:r>
          </w:p>
        </w:tc>
        <w:tc>
          <w:tcPr>
            <w:tcW w:w="6780" w:type="dxa"/>
          </w:tcPr>
          <w:p w14:paraId="7D0FAAA6"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Effective questioning and feedback</w:t>
            </w:r>
          </w:p>
        </w:tc>
      </w:tr>
      <w:tr w:rsidR="00A148FC" w:rsidRPr="004144EA" w14:paraId="6418A308" w14:textId="77777777" w:rsidTr="00D02C98">
        <w:tc>
          <w:tcPr>
            <w:tcW w:w="990" w:type="dxa"/>
          </w:tcPr>
          <w:p w14:paraId="2CE31E91"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7</w:t>
            </w:r>
          </w:p>
        </w:tc>
        <w:tc>
          <w:tcPr>
            <w:tcW w:w="6780" w:type="dxa"/>
          </w:tcPr>
          <w:p w14:paraId="20186CF4"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Active participation </w:t>
            </w:r>
          </w:p>
        </w:tc>
      </w:tr>
      <w:tr w:rsidR="00A148FC" w:rsidRPr="004144EA" w14:paraId="70632AAC" w14:textId="77777777" w:rsidTr="00D02C98">
        <w:tc>
          <w:tcPr>
            <w:tcW w:w="990" w:type="dxa"/>
          </w:tcPr>
          <w:p w14:paraId="2033544F"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8</w:t>
            </w:r>
          </w:p>
        </w:tc>
        <w:tc>
          <w:tcPr>
            <w:tcW w:w="6780" w:type="dxa"/>
          </w:tcPr>
          <w:p w14:paraId="6C360B7A" w14:textId="77777777" w:rsidR="00A148FC" w:rsidRPr="004144EA" w:rsidRDefault="00A148FC"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Peer, co-operative and collaborative learning</w:t>
            </w:r>
          </w:p>
        </w:tc>
      </w:tr>
      <w:tr w:rsidR="00A148FC" w:rsidRPr="004144EA" w14:paraId="3A3B66CE" w14:textId="77777777" w:rsidTr="00D02C98">
        <w:tc>
          <w:tcPr>
            <w:tcW w:w="990" w:type="dxa"/>
          </w:tcPr>
          <w:p w14:paraId="2769034B"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9</w:t>
            </w:r>
          </w:p>
        </w:tc>
        <w:tc>
          <w:tcPr>
            <w:tcW w:w="6780" w:type="dxa"/>
          </w:tcPr>
          <w:p w14:paraId="02B02300"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Supporting students’ emotional and social wellbeing</w:t>
            </w:r>
          </w:p>
        </w:tc>
      </w:tr>
      <w:tr w:rsidR="00A148FC" w:rsidRPr="004144EA" w14:paraId="40EABE58" w14:textId="77777777" w:rsidTr="00D02C98">
        <w:tc>
          <w:tcPr>
            <w:tcW w:w="990" w:type="dxa"/>
          </w:tcPr>
          <w:p w14:paraId="13E3C256" w14:textId="77777777" w:rsidR="00A148FC" w:rsidRPr="000A0137" w:rsidRDefault="00A148FC" w:rsidP="00D02C98">
            <w:pPr>
              <w:rPr>
                <w:rFonts w:ascii="Gadugi" w:eastAsia="Calibri" w:hAnsi="Gadugi" w:cs="Calibri"/>
                <w:b/>
                <w:bCs/>
                <w:kern w:val="1"/>
                <w:sz w:val="22"/>
                <w:lang w:eastAsia="en-GB" w:bidi="ar-SA"/>
              </w:rPr>
            </w:pPr>
            <w:r w:rsidRPr="000A0137">
              <w:rPr>
                <w:rFonts w:ascii="Gadugi" w:eastAsia="Calibri" w:hAnsi="Gadugi" w:cs="Calibri"/>
                <w:b/>
                <w:bCs/>
                <w:kern w:val="1"/>
                <w:sz w:val="22"/>
                <w:lang w:eastAsia="en-GB" w:bidi="ar-SA"/>
              </w:rPr>
              <w:t>10</w:t>
            </w:r>
          </w:p>
        </w:tc>
        <w:tc>
          <w:tcPr>
            <w:tcW w:w="6780" w:type="dxa"/>
          </w:tcPr>
          <w:p w14:paraId="23A30B07" w14:textId="77777777" w:rsidR="00A148FC" w:rsidRPr="000A0137" w:rsidRDefault="00A148FC" w:rsidP="00D02C98">
            <w:pPr>
              <w:contextualSpacing/>
              <w:rPr>
                <w:rFonts w:ascii="Gadugi" w:eastAsia="Calibri" w:hAnsi="Gadugi" w:cs="Calibri"/>
                <w:b/>
                <w:bCs/>
                <w:kern w:val="1"/>
                <w:sz w:val="22"/>
                <w:lang w:eastAsia="en-GB" w:bidi="ar-SA"/>
              </w:rPr>
            </w:pPr>
            <w:r w:rsidRPr="000A0137">
              <w:rPr>
                <w:rFonts w:ascii="Gadugi" w:eastAsia="Calibri" w:hAnsi="Gadugi" w:cs="Calibri"/>
                <w:b/>
                <w:bCs/>
                <w:kern w:val="1"/>
                <w:sz w:val="22"/>
                <w:lang w:eastAsia="en-GB" w:bidi="ar-SA"/>
              </w:rPr>
              <w:t>Legal framework and policies around Inclusion in Myanmar</w:t>
            </w:r>
          </w:p>
        </w:tc>
      </w:tr>
      <w:tr w:rsidR="00A148FC" w:rsidRPr="004144EA" w14:paraId="0F6F0CE0" w14:textId="77777777" w:rsidTr="00D02C98">
        <w:tc>
          <w:tcPr>
            <w:tcW w:w="990" w:type="dxa"/>
          </w:tcPr>
          <w:p w14:paraId="089515A8"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11</w:t>
            </w:r>
          </w:p>
        </w:tc>
        <w:tc>
          <w:tcPr>
            <w:tcW w:w="6780" w:type="dxa"/>
          </w:tcPr>
          <w:p w14:paraId="5A6C7FC8"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Supporting all students through differentiation</w:t>
            </w:r>
          </w:p>
        </w:tc>
      </w:tr>
      <w:tr w:rsidR="00A148FC" w:rsidRPr="004144EA" w14:paraId="23D1FE59" w14:textId="77777777" w:rsidTr="00D02C98">
        <w:tc>
          <w:tcPr>
            <w:tcW w:w="990" w:type="dxa"/>
          </w:tcPr>
          <w:p w14:paraId="324DB276"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12</w:t>
            </w:r>
          </w:p>
        </w:tc>
        <w:tc>
          <w:tcPr>
            <w:tcW w:w="6780" w:type="dxa"/>
          </w:tcPr>
          <w:p w14:paraId="69C41E79"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Identifying specific learning difficulties </w:t>
            </w:r>
          </w:p>
        </w:tc>
      </w:tr>
      <w:tr w:rsidR="00A148FC" w:rsidRPr="004144EA" w14:paraId="156561D7" w14:textId="77777777" w:rsidTr="00D02C98">
        <w:tc>
          <w:tcPr>
            <w:tcW w:w="990" w:type="dxa"/>
          </w:tcPr>
          <w:p w14:paraId="4A174F82"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13</w:t>
            </w:r>
          </w:p>
        </w:tc>
        <w:tc>
          <w:tcPr>
            <w:tcW w:w="6780" w:type="dxa"/>
          </w:tcPr>
          <w:p w14:paraId="7B520A63"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Supporting all learners with differences or disabilities </w:t>
            </w:r>
          </w:p>
        </w:tc>
      </w:tr>
      <w:tr w:rsidR="00A148FC" w:rsidRPr="004144EA" w14:paraId="2DEC39E8" w14:textId="77777777" w:rsidTr="00D02C98">
        <w:tc>
          <w:tcPr>
            <w:tcW w:w="990" w:type="dxa"/>
          </w:tcPr>
          <w:p w14:paraId="6D6741E8"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14</w:t>
            </w:r>
          </w:p>
        </w:tc>
        <w:tc>
          <w:tcPr>
            <w:tcW w:w="6780" w:type="dxa"/>
          </w:tcPr>
          <w:p w14:paraId="2D584217"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Positive behaviour management</w:t>
            </w:r>
          </w:p>
        </w:tc>
      </w:tr>
      <w:tr w:rsidR="00A148FC" w:rsidRPr="004144EA" w14:paraId="68F44952" w14:textId="77777777" w:rsidTr="00D02C98">
        <w:tc>
          <w:tcPr>
            <w:tcW w:w="990" w:type="dxa"/>
          </w:tcPr>
          <w:p w14:paraId="5A76530B" w14:textId="77777777" w:rsidR="00A148FC" w:rsidRPr="004144EA" w:rsidRDefault="00A148FC"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15</w:t>
            </w:r>
          </w:p>
        </w:tc>
        <w:tc>
          <w:tcPr>
            <w:tcW w:w="6780" w:type="dxa"/>
          </w:tcPr>
          <w:p w14:paraId="085CBE11" w14:textId="77777777" w:rsidR="00A148FC" w:rsidRPr="004144EA" w:rsidRDefault="00A148FC"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Assessment for student achievement  </w:t>
            </w:r>
          </w:p>
        </w:tc>
      </w:tr>
    </w:tbl>
    <w:p w14:paraId="3022DA1A" w14:textId="77777777" w:rsidR="00212228" w:rsidRPr="00212228" w:rsidRDefault="00212228" w:rsidP="00212228">
      <w:pPr>
        <w:spacing w:after="0" w:line="240" w:lineRule="auto"/>
        <w:rPr>
          <w:szCs w:val="24"/>
        </w:rPr>
      </w:pPr>
      <w:bookmarkStart w:id="4" w:name="_Toc72162637"/>
    </w:p>
    <w:p w14:paraId="1C75228A" w14:textId="13ACC62F" w:rsidR="004D724A" w:rsidRPr="00B85C7E" w:rsidRDefault="004D724A" w:rsidP="00B85C7E">
      <w:pPr>
        <w:keepNext/>
        <w:keepLines/>
        <w:spacing w:before="240" w:after="0"/>
        <w:outlineLvl w:val="0"/>
        <w:rPr>
          <w:rFonts w:asciiTheme="majorHAnsi" w:eastAsia="Times New Roman" w:hAnsiTheme="majorHAnsi" w:cstheme="majorHAnsi"/>
          <w:b/>
          <w:bCs/>
          <w:color w:val="2F5496" w:themeColor="accent1" w:themeShade="BF"/>
          <w:sz w:val="26"/>
          <w:szCs w:val="26"/>
          <w:lang w:val="en-GB" w:eastAsia="ja-JP"/>
        </w:rPr>
      </w:pPr>
      <w:bookmarkStart w:id="5" w:name="_Hlk72488650"/>
      <w:r w:rsidRPr="00B85C7E">
        <w:rPr>
          <w:rFonts w:asciiTheme="majorHAnsi" w:eastAsia="Times New Roman" w:hAnsiTheme="majorHAnsi" w:cstheme="majorHAnsi"/>
          <w:b/>
          <w:bCs/>
          <w:color w:val="2F5496" w:themeColor="accent1" w:themeShade="BF"/>
          <w:sz w:val="26"/>
          <w:szCs w:val="26"/>
          <w:lang w:val="en-GB" w:eastAsia="ja-JP"/>
        </w:rPr>
        <w:t>Learning Journal</w:t>
      </w:r>
      <w:bookmarkEnd w:id="4"/>
    </w:p>
    <w:p w14:paraId="09BC6014" w14:textId="0D46D1C7" w:rsidR="005B57F3" w:rsidRPr="00D459F9" w:rsidRDefault="00943F5E" w:rsidP="00212228">
      <w:pPr>
        <w:jc w:val="both"/>
        <w:rPr>
          <w:rFonts w:ascii="Gadugi" w:eastAsia="Calibri" w:hAnsi="Gadugi" w:cs="Times New Roman"/>
          <w:color w:val="44546A" w:themeColor="text2"/>
          <w:sz w:val="22"/>
        </w:rPr>
      </w:pPr>
      <w:r w:rsidRPr="00D459F9">
        <w:rPr>
          <w:rFonts w:ascii="Gadugi" w:eastAsia="Calibri" w:hAnsi="Gadugi" w:cs="Times New Roman"/>
          <w:sz w:val="22"/>
        </w:rPr>
        <w:t xml:space="preserve">Please ensure all </w:t>
      </w:r>
      <w:r w:rsidR="00E229B7" w:rsidRPr="00D459F9">
        <w:rPr>
          <w:rFonts w:ascii="Gadugi" w:eastAsia="Calibri" w:hAnsi="Gadugi" w:cs="Times New Roman"/>
          <w:sz w:val="22"/>
        </w:rPr>
        <w:t>participants</w:t>
      </w:r>
      <w:r w:rsidRPr="00D459F9">
        <w:rPr>
          <w:rFonts w:ascii="Gadugi" w:eastAsia="Calibri" w:hAnsi="Gadugi" w:cs="Times New Roman"/>
          <w:sz w:val="22"/>
        </w:rPr>
        <w:t xml:space="preserve"> are aware of the learning journal and its purpose</w:t>
      </w:r>
      <w:r w:rsidR="00CC26EB" w:rsidRPr="00D459F9">
        <w:rPr>
          <w:rFonts w:ascii="Gadugi" w:eastAsia="Calibri" w:hAnsi="Gadugi" w:cs="Times New Roman"/>
          <w:sz w:val="22"/>
        </w:rPr>
        <w:t xml:space="preserve"> for the module. </w:t>
      </w:r>
      <w:r w:rsidR="0054548F" w:rsidRPr="00D459F9">
        <w:rPr>
          <w:rFonts w:ascii="Gadugi" w:eastAsia="Calibri" w:hAnsi="Gadugi" w:cs="Times New Roman"/>
          <w:sz w:val="22"/>
        </w:rPr>
        <w:t>Point them to the advice given in their participants’ copy of the best way to complete.</w:t>
      </w:r>
      <w:r w:rsidR="00CC26EB" w:rsidRPr="00D459F9">
        <w:rPr>
          <w:rFonts w:ascii="Gadugi" w:eastAsia="Calibri" w:hAnsi="Gadugi" w:cs="Times New Roman"/>
          <w:sz w:val="22"/>
        </w:rPr>
        <w:t xml:space="preserve"> </w:t>
      </w:r>
      <w:r w:rsidR="00E57512" w:rsidRPr="00D459F9">
        <w:rPr>
          <w:rFonts w:ascii="Gadugi" w:eastAsia="Calibri" w:hAnsi="Gadugi" w:cs="Times New Roman"/>
          <w:sz w:val="22"/>
        </w:rPr>
        <w:t>All answers to activities need to be written in their journal. Remember,</w:t>
      </w:r>
      <w:r w:rsidR="00E229B7" w:rsidRPr="00D459F9">
        <w:rPr>
          <w:rFonts w:ascii="Gadugi" w:hAnsi="Gadugi"/>
          <w:sz w:val="22"/>
        </w:rPr>
        <w:t xml:space="preserve"> reflection is an important part of the learning process and a worthy activity alone.</w:t>
      </w:r>
      <w:r w:rsidR="006176CB" w:rsidRPr="00D459F9">
        <w:rPr>
          <w:rFonts w:ascii="Gadugi" w:hAnsi="Gadugi"/>
          <w:sz w:val="22"/>
        </w:rPr>
        <w:t xml:space="preserve"> Encourage participants to make a note of new and interesting words/phrases/terms as they make their way through the module.  </w:t>
      </w:r>
    </w:p>
    <w:p w14:paraId="19ED13AF" w14:textId="1DA1CB7C" w:rsidR="00472E57" w:rsidRDefault="00472E57" w:rsidP="004D724A">
      <w:pPr>
        <w:spacing w:after="0"/>
        <w:rPr>
          <w:rFonts w:ascii="Calibri" w:eastAsia="Calibri" w:hAnsi="Calibri" w:cs="Times New Roman"/>
          <w:color w:val="2F5496" w:themeColor="accent1" w:themeShade="BF"/>
          <w:sz w:val="22"/>
        </w:rPr>
      </w:pPr>
    </w:p>
    <w:p w14:paraId="630828CA" w14:textId="77777777" w:rsidR="000A0137" w:rsidRPr="009D2E0D" w:rsidRDefault="000A0137" w:rsidP="004D724A">
      <w:pPr>
        <w:spacing w:after="0"/>
        <w:rPr>
          <w:rFonts w:ascii="Calibri" w:eastAsia="Calibri" w:hAnsi="Calibri" w:cs="Times New Roman"/>
          <w:color w:val="2F5496" w:themeColor="accent1" w:themeShade="BF"/>
          <w:sz w:val="22"/>
        </w:rPr>
      </w:pPr>
    </w:p>
    <w:p w14:paraId="148AEE2B" w14:textId="1FAB92EE" w:rsidR="004D724A" w:rsidRPr="00B85C7E" w:rsidRDefault="004D724A" w:rsidP="00B85C7E">
      <w:pPr>
        <w:keepNext/>
        <w:keepLines/>
        <w:spacing w:after="0"/>
        <w:outlineLvl w:val="0"/>
        <w:rPr>
          <w:rFonts w:ascii="Calibri Light" w:eastAsia="Times New Roman" w:hAnsi="Calibri Light" w:cs="Times New Roman"/>
          <w:b/>
          <w:bCs/>
          <w:color w:val="2F5496" w:themeColor="accent1" w:themeShade="BF"/>
          <w:sz w:val="26"/>
          <w:szCs w:val="26"/>
        </w:rPr>
      </w:pPr>
      <w:bookmarkStart w:id="6" w:name="_Toc72162638"/>
      <w:r w:rsidRPr="00B85C7E">
        <w:rPr>
          <w:rFonts w:ascii="Calibri Light" w:eastAsia="Times New Roman" w:hAnsi="Calibri Light" w:cs="Times New Roman"/>
          <w:b/>
          <w:bCs/>
          <w:color w:val="2F5496" w:themeColor="accent1" w:themeShade="BF"/>
          <w:sz w:val="26"/>
          <w:szCs w:val="26"/>
        </w:rPr>
        <w:lastRenderedPageBreak/>
        <w:t>Study tips</w:t>
      </w:r>
      <w:bookmarkEnd w:id="6"/>
    </w:p>
    <w:p w14:paraId="15A28FCF" w14:textId="0A56F6C4" w:rsidR="00ED5715" w:rsidRPr="00D459F9" w:rsidRDefault="0054548F" w:rsidP="008F280E">
      <w:pPr>
        <w:jc w:val="both"/>
        <w:rPr>
          <w:rFonts w:ascii="Gadugi" w:eastAsia="Calibri" w:hAnsi="Gadugi" w:cs="Times New Roman"/>
          <w:sz w:val="22"/>
        </w:rPr>
      </w:pPr>
      <w:r w:rsidRPr="00D459F9">
        <w:rPr>
          <w:rFonts w:ascii="Gadugi" w:eastAsia="Calibri" w:hAnsi="Gadugi" w:cs="Times New Roman"/>
          <w:sz w:val="22"/>
        </w:rPr>
        <w:t xml:space="preserve">It is important to explain how to approach completing the module. </w:t>
      </w:r>
      <w:r w:rsidR="00E229B7" w:rsidRPr="00D459F9">
        <w:rPr>
          <w:rFonts w:ascii="Gadugi" w:eastAsia="Calibri" w:hAnsi="Gadugi" w:cs="Times New Roman"/>
          <w:sz w:val="22"/>
        </w:rPr>
        <w:t>Participants</w:t>
      </w:r>
      <w:r w:rsidR="00A3449B" w:rsidRPr="00D459F9">
        <w:rPr>
          <w:rFonts w:ascii="Gadugi" w:eastAsia="Calibri" w:hAnsi="Gadugi" w:cs="Times New Roman"/>
          <w:sz w:val="22"/>
        </w:rPr>
        <w:t xml:space="preserve"> need to t</w:t>
      </w:r>
      <w:r w:rsidRPr="00D459F9">
        <w:rPr>
          <w:rFonts w:ascii="Gadugi" w:eastAsia="Calibri" w:hAnsi="Gadugi" w:cs="Times New Roman"/>
          <w:sz w:val="22"/>
        </w:rPr>
        <w:t>ak</w:t>
      </w:r>
      <w:r w:rsidR="00A3449B" w:rsidRPr="00D459F9">
        <w:rPr>
          <w:rFonts w:ascii="Gadugi" w:eastAsia="Calibri" w:hAnsi="Gadugi" w:cs="Times New Roman"/>
          <w:sz w:val="22"/>
        </w:rPr>
        <w:t>e</w:t>
      </w:r>
      <w:r w:rsidRPr="00D459F9">
        <w:rPr>
          <w:rFonts w:ascii="Gadugi" w:eastAsia="Calibri" w:hAnsi="Gadugi" w:cs="Times New Roman"/>
          <w:sz w:val="22"/>
        </w:rPr>
        <w:t xml:space="preserve"> their time, </w:t>
      </w:r>
      <w:r w:rsidR="00A3449B" w:rsidRPr="00D459F9">
        <w:rPr>
          <w:rFonts w:ascii="Gadugi" w:eastAsia="Calibri" w:hAnsi="Gadugi" w:cs="Times New Roman"/>
          <w:sz w:val="22"/>
        </w:rPr>
        <w:t>develop a suitable</w:t>
      </w:r>
      <w:r w:rsidRPr="00D459F9">
        <w:rPr>
          <w:rFonts w:ascii="Gadugi" w:eastAsia="Calibri" w:hAnsi="Gadugi" w:cs="Times New Roman"/>
          <w:sz w:val="22"/>
        </w:rPr>
        <w:t xml:space="preserve"> timetable</w:t>
      </w:r>
      <w:r w:rsidR="00A3449B" w:rsidRPr="00D459F9">
        <w:rPr>
          <w:rFonts w:ascii="Gadugi" w:eastAsia="Calibri" w:hAnsi="Gadugi" w:cs="Times New Roman"/>
          <w:sz w:val="22"/>
        </w:rPr>
        <w:t xml:space="preserve"> and where possible </w:t>
      </w:r>
      <w:r w:rsidRPr="00D459F9">
        <w:rPr>
          <w:rFonts w:ascii="Gadugi" w:eastAsia="Calibri" w:hAnsi="Gadugi" w:cs="Times New Roman"/>
          <w:sz w:val="22"/>
        </w:rPr>
        <w:t>check</w:t>
      </w:r>
      <w:r w:rsidR="00A3449B" w:rsidRPr="00D459F9">
        <w:rPr>
          <w:rFonts w:ascii="Gadugi" w:eastAsia="Calibri" w:hAnsi="Gadugi" w:cs="Times New Roman"/>
          <w:sz w:val="22"/>
        </w:rPr>
        <w:t xml:space="preserve"> their</w:t>
      </w:r>
      <w:r w:rsidRPr="00D459F9">
        <w:rPr>
          <w:rFonts w:ascii="Gadugi" w:eastAsia="Calibri" w:hAnsi="Gadugi" w:cs="Times New Roman"/>
          <w:sz w:val="22"/>
        </w:rPr>
        <w:t xml:space="preserve"> answers with colleagues. The use of think / pair / share is a good way for them to collaborate, share ideas, ask questions, check </w:t>
      </w:r>
      <w:r w:rsidR="00A3449B" w:rsidRPr="00D459F9">
        <w:rPr>
          <w:rFonts w:ascii="Gadugi" w:eastAsia="Calibri" w:hAnsi="Gadugi" w:cs="Times New Roman"/>
          <w:sz w:val="22"/>
        </w:rPr>
        <w:t>their</w:t>
      </w:r>
      <w:r w:rsidRPr="00D459F9">
        <w:rPr>
          <w:rFonts w:ascii="Gadugi" w:eastAsia="Calibri" w:hAnsi="Gadugi" w:cs="Times New Roman"/>
          <w:sz w:val="22"/>
        </w:rPr>
        <w:t xml:space="preserve"> work, and give feedback.</w:t>
      </w:r>
      <w:bookmarkEnd w:id="5"/>
    </w:p>
    <w:p w14:paraId="474495D3" w14:textId="77777777" w:rsidR="00DE26CE" w:rsidRPr="00DE26CE" w:rsidRDefault="00DE26CE" w:rsidP="00DE26CE">
      <w:pPr>
        <w:keepNext/>
        <w:keepLines/>
        <w:spacing w:before="240" w:after="0"/>
        <w:outlineLvl w:val="0"/>
        <w:rPr>
          <w:rFonts w:asciiTheme="majorHAnsi" w:eastAsia="Times New Roman" w:hAnsiTheme="majorHAnsi" w:cstheme="majorBidi"/>
          <w:b/>
          <w:bCs/>
          <w:color w:val="2F5496" w:themeColor="accent1" w:themeShade="BF"/>
          <w:sz w:val="26"/>
          <w:szCs w:val="32"/>
          <w:lang w:bidi="ar-SA"/>
        </w:rPr>
      </w:pPr>
      <w:r w:rsidRPr="00DE26CE">
        <w:rPr>
          <w:rFonts w:asciiTheme="majorHAnsi" w:eastAsia="Times New Roman" w:hAnsiTheme="majorHAnsi" w:cstheme="majorBidi"/>
          <w:b/>
          <w:bCs/>
          <w:color w:val="2F5496" w:themeColor="accent1" w:themeShade="BF"/>
          <w:sz w:val="26"/>
          <w:szCs w:val="32"/>
          <w:lang w:bidi="ar-SA"/>
        </w:rPr>
        <w:t>Background to the Inclusive Practice CPD modules.</w:t>
      </w:r>
    </w:p>
    <w:p w14:paraId="2D34A076"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DE26CE">
        <w:rPr>
          <w:rFonts w:ascii="Gadugi" w:eastAsia="Times New Roman" w:hAnsi="Gadugi" w:cstheme="minorHAnsi"/>
          <w:color w:val="212529"/>
          <w:sz w:val="22"/>
          <w:vertAlign w:val="superscript"/>
          <w:lang w:bidi="ar-SA"/>
        </w:rPr>
        <w:t>st</w:t>
      </w:r>
      <w:r w:rsidRPr="00DE26CE">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56FC9C6B"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This course has been designed to help participants engage in this discussion by challenging their </w:t>
      </w:r>
      <w:r w:rsidRPr="00DE26CE">
        <w:rPr>
          <w:rFonts w:ascii="Gadugi" w:eastAsia="Times New Roman" w:hAnsi="Gadugi" w:cstheme="minorHAnsi"/>
          <w:b/>
          <w:bCs/>
          <w:sz w:val="22"/>
          <w:lang w:bidi="ar-SA"/>
        </w:rPr>
        <w:t>beliefs and attitudes</w:t>
      </w:r>
      <w:r w:rsidRPr="00DE26CE">
        <w:rPr>
          <w:rFonts w:ascii="Gadugi" w:eastAsia="Times New Roman" w:hAnsi="Gadugi" w:cstheme="minorHAnsi"/>
          <w:sz w:val="22"/>
          <w:lang w:bidi="ar-SA"/>
        </w:rPr>
        <w:t xml:space="preserve"> about their own teaching, their students’ learning and the impact their educational institution has on inclusion. It is expected that as a facilitator, you will challenge their beliefs and attitudes throughout the modules.</w:t>
      </w:r>
    </w:p>
    <w:p w14:paraId="34098EA3"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It is also important for you as a facilitator to embed many of the teaching and learning techniques associated with inclusion in education into this course.  Encourage participants to work at their own pace and consider their own abilities, interests and skills.                        </w:t>
      </w:r>
    </w:p>
    <w:p w14:paraId="6DB1CDEA" w14:textId="77777777" w:rsidR="00DE26CE" w:rsidRPr="00DE26CE" w:rsidRDefault="00DE26CE" w:rsidP="00DE26C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The modules look at how we create a positive Inclusive Learning Environment for all. You will see how inclusive teaching practices support gender equity and encourage, develop and use the 21</w:t>
      </w:r>
      <w:r w:rsidRPr="00DE26CE">
        <w:rPr>
          <w:rFonts w:ascii="Gadugi" w:eastAsia="Times New Roman" w:hAnsi="Gadugi" w:cstheme="minorHAnsi"/>
          <w:sz w:val="22"/>
          <w:vertAlign w:val="superscript"/>
          <w:lang w:bidi="ar-SA"/>
        </w:rPr>
        <w:t>st</w:t>
      </w:r>
      <w:r w:rsidRPr="00DE26CE">
        <w:rPr>
          <w:rFonts w:ascii="Gadugi" w:eastAsia="Times New Roman" w:hAnsi="Gadugi" w:cstheme="minorHAnsi"/>
          <w:sz w:val="22"/>
          <w:lang w:bidi="ar-SA"/>
        </w:rPr>
        <w:t xml:space="preserve"> century skills of critical thinking, communication, collaboration and creativity.                                 </w:t>
      </w:r>
    </w:p>
    <w:p w14:paraId="0FA1FC28" w14:textId="730ED248" w:rsidR="00DE26CE" w:rsidRPr="00B76D94" w:rsidRDefault="00DE26CE" w:rsidP="00B76D94">
      <w:pPr>
        <w:shd w:val="clear" w:color="auto" w:fill="FFFFFF"/>
        <w:spacing w:after="100" w:afterAutospacing="1" w:line="240" w:lineRule="auto"/>
        <w:rPr>
          <w:rFonts w:ascii="Gadugi" w:eastAsia="Times New Roman" w:hAnsi="Gadugi" w:cstheme="minorHAnsi"/>
          <w:sz w:val="22"/>
          <w:shd w:val="clear" w:color="auto" w:fill="FFFFFF"/>
          <w:lang w:bidi="ar-SA"/>
        </w:rPr>
      </w:pPr>
      <w:r w:rsidRPr="00DE26CE">
        <w:rPr>
          <w:rFonts w:ascii="Gadugi" w:eastAsia="Times New Roman" w:hAnsi="Gadugi" w:cstheme="minorHAnsi"/>
          <w:sz w:val="22"/>
          <w:shd w:val="clear" w:color="auto" w:fill="FFFFFF"/>
          <w:lang w:bidi="ar-SA"/>
        </w:rPr>
        <w:t>Each module is made up of a series of activities participants can work through at their own pace. Once they have completed the module, they will have a multiple-choice quiz to complete. </w:t>
      </w:r>
    </w:p>
    <w:p w14:paraId="6B0F7F39" w14:textId="77EFB612" w:rsidR="009D23B3" w:rsidRPr="00141215" w:rsidRDefault="00141215" w:rsidP="00B85C7E">
      <w:pPr>
        <w:pStyle w:val="Heading1"/>
        <w:rPr>
          <w:b/>
          <w:bCs/>
          <w:sz w:val="26"/>
          <w:szCs w:val="26"/>
        </w:rPr>
      </w:pPr>
      <w:r>
        <w:rPr>
          <w:b/>
          <w:bCs/>
          <w:sz w:val="26"/>
          <w:szCs w:val="26"/>
        </w:rPr>
        <w:t xml:space="preserve">Learning outcomes for </w:t>
      </w:r>
      <w:r w:rsidR="00A3449B" w:rsidRPr="00D459F9">
        <w:rPr>
          <w:b/>
          <w:bCs/>
          <w:sz w:val="26"/>
          <w:szCs w:val="26"/>
        </w:rPr>
        <w:t xml:space="preserve">Module </w:t>
      </w:r>
      <w:r w:rsidR="000A0137">
        <w:rPr>
          <w:b/>
          <w:bCs/>
          <w:sz w:val="26"/>
          <w:szCs w:val="26"/>
        </w:rPr>
        <w:t>10</w:t>
      </w:r>
    </w:p>
    <w:tbl>
      <w:tblPr>
        <w:tblStyle w:val="TableGrid"/>
        <w:tblW w:w="9918" w:type="dxa"/>
        <w:tblLook w:val="04A0" w:firstRow="1" w:lastRow="0" w:firstColumn="1" w:lastColumn="0" w:noHBand="0" w:noVBand="1"/>
      </w:tblPr>
      <w:tblGrid>
        <w:gridCol w:w="9918"/>
      </w:tblGrid>
      <w:tr w:rsidR="00CC26EB" w:rsidRPr="00CC26EB" w14:paraId="19A1B02B" w14:textId="77777777" w:rsidTr="0027203F">
        <w:trPr>
          <w:trHeight w:val="1922"/>
        </w:trPr>
        <w:tc>
          <w:tcPr>
            <w:tcW w:w="9918" w:type="dxa"/>
            <w:shd w:val="clear" w:color="auto" w:fill="E2EFD9" w:themeFill="accent6" w:themeFillTint="33"/>
          </w:tcPr>
          <w:p w14:paraId="1F6645B8" w14:textId="77777777" w:rsidR="00141215" w:rsidRDefault="00141215" w:rsidP="009D23B3">
            <w:pPr>
              <w:autoSpaceDE w:val="0"/>
              <w:autoSpaceDN w:val="0"/>
              <w:adjustRightInd w:val="0"/>
              <w:rPr>
                <w:rFonts w:cs="Calibri"/>
                <w:b/>
                <w:bCs/>
                <w:kern w:val="1"/>
                <w:szCs w:val="24"/>
                <w:lang w:eastAsia="en-GB" w:bidi="ar-SA"/>
              </w:rPr>
            </w:pPr>
            <w:bookmarkStart w:id="7" w:name="_Hlk72146571"/>
            <w:bookmarkStart w:id="8" w:name="_Hlk71729982"/>
          </w:p>
          <w:p w14:paraId="547FAE2E" w14:textId="14D009B4" w:rsidR="00816040" w:rsidRPr="00597FDF" w:rsidRDefault="000A1EC8" w:rsidP="000A1EC8">
            <w:pPr>
              <w:autoSpaceDE w:val="0"/>
              <w:autoSpaceDN w:val="0"/>
              <w:adjustRightInd w:val="0"/>
              <w:rPr>
                <w:rFonts w:ascii="Gadugi" w:hAnsi="Gadugi" w:cs="Calibri"/>
                <w:b/>
                <w:bCs/>
                <w:kern w:val="1"/>
                <w:sz w:val="22"/>
                <w:lang w:eastAsia="en-GB" w:bidi="ar-SA"/>
              </w:rPr>
            </w:pPr>
            <w:r w:rsidRPr="00597FDF">
              <w:rPr>
                <w:rFonts w:ascii="Gadugi" w:hAnsi="Gadugi" w:cs="Calibri"/>
                <w:b/>
                <w:bCs/>
                <w:kern w:val="1"/>
                <w:sz w:val="22"/>
                <w:lang w:eastAsia="en-GB" w:bidi="ar-SA"/>
              </w:rPr>
              <w:t xml:space="preserve">By working through this module, </w:t>
            </w:r>
            <w:r>
              <w:rPr>
                <w:rFonts w:ascii="Gadugi" w:hAnsi="Gadugi" w:cs="Calibri"/>
                <w:b/>
                <w:bCs/>
                <w:kern w:val="1"/>
                <w:sz w:val="22"/>
                <w:lang w:eastAsia="en-GB" w:bidi="ar-SA"/>
              </w:rPr>
              <w:t xml:space="preserve">participants </w:t>
            </w:r>
            <w:r w:rsidRPr="00597FDF">
              <w:rPr>
                <w:rFonts w:ascii="Gadugi" w:hAnsi="Gadugi" w:cs="Calibri"/>
                <w:b/>
                <w:bCs/>
                <w:kern w:val="1"/>
                <w:sz w:val="22"/>
                <w:lang w:eastAsia="en-GB" w:bidi="ar-SA"/>
              </w:rPr>
              <w:t>will be able to:</w:t>
            </w:r>
          </w:p>
          <w:bookmarkEnd w:id="7"/>
          <w:p w14:paraId="12779FB3" w14:textId="77777777" w:rsidR="00005C23" w:rsidRPr="00E150FD" w:rsidRDefault="00005C23" w:rsidP="00005C23">
            <w:pPr>
              <w:pStyle w:val="ListParagraph"/>
              <w:numPr>
                <w:ilvl w:val="0"/>
                <w:numId w:val="2"/>
              </w:numPr>
              <w:rPr>
                <w:rFonts w:ascii="Gadugi" w:hAnsi="Gadugi" w:cstheme="minorHAnsi"/>
                <w:b/>
                <w:bCs/>
                <w:color w:val="222A35" w:themeColor="text2" w:themeShade="80"/>
                <w:sz w:val="22"/>
              </w:rPr>
            </w:pPr>
            <w:r w:rsidRPr="00E150FD">
              <w:rPr>
                <w:rFonts w:ascii="Gadugi" w:hAnsi="Gadugi" w:cstheme="minorHAnsi"/>
                <w:b/>
                <w:bCs/>
                <w:color w:val="222A35" w:themeColor="text2" w:themeShade="80"/>
                <w:sz w:val="22"/>
              </w:rPr>
              <w:t>Identify the</w:t>
            </w:r>
            <w:r>
              <w:rPr>
                <w:rFonts w:ascii="Gadugi" w:hAnsi="Gadugi" w:cstheme="minorHAnsi"/>
                <w:b/>
                <w:bCs/>
                <w:color w:val="222A35" w:themeColor="text2" w:themeShade="80"/>
                <w:sz w:val="22"/>
              </w:rPr>
              <w:t xml:space="preserve"> policies and laws which support the realization of Inclusive education in Myanmar</w:t>
            </w:r>
            <w:r w:rsidRPr="00E150FD">
              <w:rPr>
                <w:rFonts w:ascii="Gadugi" w:hAnsi="Gadugi" w:cstheme="minorHAnsi"/>
                <w:b/>
                <w:bCs/>
                <w:color w:val="222A35" w:themeColor="text2" w:themeShade="80"/>
                <w:sz w:val="22"/>
              </w:rPr>
              <w:t xml:space="preserve"> </w:t>
            </w:r>
          </w:p>
          <w:p w14:paraId="12364B4E" w14:textId="77777777" w:rsidR="00005C23" w:rsidRPr="00E150FD" w:rsidRDefault="00005C23" w:rsidP="00005C23">
            <w:pPr>
              <w:pStyle w:val="ListParagraph"/>
              <w:numPr>
                <w:ilvl w:val="0"/>
                <w:numId w:val="2"/>
              </w:numPr>
              <w:rPr>
                <w:rFonts w:ascii="Gadugi" w:hAnsi="Gadugi" w:cstheme="minorHAnsi"/>
                <w:b/>
                <w:bCs/>
                <w:color w:val="222A35" w:themeColor="text2" w:themeShade="80"/>
                <w:sz w:val="22"/>
              </w:rPr>
            </w:pPr>
            <w:r w:rsidRPr="00E150FD">
              <w:rPr>
                <w:rFonts w:ascii="Gadugi" w:hAnsi="Gadugi" w:cstheme="minorHAnsi"/>
                <w:b/>
                <w:bCs/>
                <w:color w:val="222A35" w:themeColor="text2" w:themeShade="80"/>
                <w:sz w:val="22"/>
              </w:rPr>
              <w:t>Outline the relevant sections of international and national policies and laws in relation to Inclusive Education in Myanmar</w:t>
            </w:r>
          </w:p>
          <w:p w14:paraId="47F3A86E" w14:textId="77777777" w:rsidR="00005C23" w:rsidRPr="00E150FD" w:rsidRDefault="00005C23" w:rsidP="00005C23">
            <w:pPr>
              <w:pStyle w:val="ListParagraph"/>
              <w:numPr>
                <w:ilvl w:val="0"/>
                <w:numId w:val="2"/>
              </w:numPr>
              <w:rPr>
                <w:rFonts w:ascii="Gadugi" w:hAnsi="Gadugi" w:cstheme="minorHAnsi"/>
                <w:b/>
                <w:bCs/>
                <w:color w:val="222A35" w:themeColor="text2" w:themeShade="80"/>
                <w:sz w:val="22"/>
              </w:rPr>
            </w:pPr>
            <w:r w:rsidRPr="00E150FD">
              <w:rPr>
                <w:rFonts w:ascii="Gadugi" w:hAnsi="Gadugi" w:cstheme="minorHAnsi"/>
                <w:b/>
                <w:bCs/>
                <w:color w:val="222A35" w:themeColor="text2" w:themeShade="80"/>
                <w:sz w:val="22"/>
              </w:rPr>
              <w:t>Summarise how aspects of the policies or laws relate to the work of the educator</w:t>
            </w:r>
          </w:p>
          <w:p w14:paraId="5AF239D6" w14:textId="7E18A4CF" w:rsidR="009D23B3" w:rsidRPr="00816040" w:rsidRDefault="009D23B3" w:rsidP="00005C23">
            <w:pPr>
              <w:pStyle w:val="ListParagraph"/>
              <w:spacing w:after="160" w:line="259" w:lineRule="auto"/>
              <w:rPr>
                <w:rFonts w:ascii="Gadugi" w:hAnsi="Gadugi" w:cstheme="minorHAnsi"/>
                <w:b/>
                <w:bCs/>
                <w:color w:val="222A35" w:themeColor="text2" w:themeShade="80"/>
                <w:sz w:val="22"/>
              </w:rPr>
            </w:pPr>
          </w:p>
        </w:tc>
      </w:tr>
    </w:tbl>
    <w:p w14:paraId="179A25F3" w14:textId="77777777" w:rsidR="00DE26CE" w:rsidRDefault="00DE26CE" w:rsidP="006176CB">
      <w:pPr>
        <w:spacing w:after="0" w:line="240" w:lineRule="auto"/>
        <w:rPr>
          <w:rFonts w:ascii="Gadugi" w:hAnsi="Gadugi" w:cs="Segoe UI"/>
          <w:sz w:val="22"/>
          <w:shd w:val="clear" w:color="auto" w:fill="FFFFFF"/>
        </w:rPr>
      </w:pPr>
      <w:bookmarkStart w:id="9" w:name="_Hlk72762193"/>
      <w:bookmarkEnd w:id="8"/>
    </w:p>
    <w:bookmarkEnd w:id="9"/>
    <w:p w14:paraId="3502834D" w14:textId="154680BF" w:rsidR="006176CB" w:rsidRPr="00B76D94" w:rsidRDefault="00B76D94" w:rsidP="006176CB">
      <w:pPr>
        <w:spacing w:after="0" w:line="240" w:lineRule="auto"/>
        <w:rPr>
          <w:rFonts w:ascii="Gadugi" w:hAnsi="Gadugi"/>
          <w:sz w:val="22"/>
        </w:rPr>
      </w:pPr>
      <w:r w:rsidRPr="00B76D94">
        <w:rPr>
          <w:rFonts w:ascii="Gadugi" w:hAnsi="Gadugi"/>
          <w:sz w:val="22"/>
        </w:rPr>
        <w:t xml:space="preserve">This module </w:t>
      </w:r>
      <w:r>
        <w:rPr>
          <w:rFonts w:ascii="Gadugi" w:hAnsi="Gadugi"/>
          <w:sz w:val="22"/>
        </w:rPr>
        <w:t xml:space="preserve">will </w:t>
      </w:r>
      <w:r w:rsidRPr="00B76D94">
        <w:rPr>
          <w:rFonts w:ascii="Gadugi" w:hAnsi="Gadugi"/>
          <w:sz w:val="22"/>
        </w:rPr>
        <w:t>help you</w:t>
      </w:r>
      <w:r>
        <w:rPr>
          <w:rFonts w:ascii="Gadugi" w:hAnsi="Gadugi"/>
          <w:sz w:val="22"/>
        </w:rPr>
        <w:t>r students</w:t>
      </w:r>
      <w:r w:rsidRPr="00B76D94">
        <w:rPr>
          <w:rFonts w:ascii="Gadugi" w:hAnsi="Gadugi"/>
          <w:sz w:val="22"/>
        </w:rPr>
        <w:t xml:space="preserve"> understand the legal framework and policies around </w:t>
      </w:r>
      <w:r w:rsidR="009B3289">
        <w:rPr>
          <w:rFonts w:ascii="Gadugi" w:hAnsi="Gadugi"/>
          <w:sz w:val="22"/>
        </w:rPr>
        <w:t>I</w:t>
      </w:r>
      <w:r w:rsidRPr="00B76D94">
        <w:rPr>
          <w:rFonts w:ascii="Gadugi" w:hAnsi="Gadugi"/>
          <w:sz w:val="22"/>
        </w:rPr>
        <w:t>nclusi</w:t>
      </w:r>
      <w:r w:rsidR="009B3289">
        <w:rPr>
          <w:rFonts w:ascii="Gadugi" w:hAnsi="Gadugi"/>
          <w:sz w:val="22"/>
        </w:rPr>
        <w:t>ve Education</w:t>
      </w:r>
      <w:r w:rsidRPr="00B76D94">
        <w:rPr>
          <w:rFonts w:ascii="Gadugi" w:hAnsi="Gadugi"/>
          <w:sz w:val="22"/>
        </w:rPr>
        <w:t xml:space="preserve"> in Myanmar and how they affect you as an educator. It describes the differences between laws and policies and how they link to your practice. The origins of international and national laws, and policies are explored and how they impact on your practice in the classroom. </w:t>
      </w:r>
      <w:r w:rsidR="00BB3BD8" w:rsidRPr="00B76D94">
        <w:rPr>
          <w:rFonts w:ascii="Gadugi" w:hAnsi="Gadugi"/>
          <w:sz w:val="22"/>
        </w:rPr>
        <w:t xml:space="preserve">The </w:t>
      </w:r>
      <w:r w:rsidR="0054548F" w:rsidRPr="00B76D94">
        <w:rPr>
          <w:rFonts w:ascii="Gadugi" w:hAnsi="Gadugi"/>
          <w:sz w:val="22"/>
        </w:rPr>
        <w:t>activities</w:t>
      </w:r>
      <w:r w:rsidR="00BB3BD8" w:rsidRPr="00B76D94">
        <w:rPr>
          <w:rFonts w:ascii="Gadugi" w:hAnsi="Gadugi"/>
          <w:sz w:val="22"/>
        </w:rPr>
        <w:t xml:space="preserve"> </w:t>
      </w:r>
      <w:r w:rsidR="0054548F" w:rsidRPr="00B76D94">
        <w:rPr>
          <w:rFonts w:ascii="Gadugi" w:hAnsi="Gadugi"/>
          <w:sz w:val="22"/>
        </w:rPr>
        <w:t xml:space="preserve">in the module </w:t>
      </w:r>
      <w:r w:rsidR="00BB3BD8" w:rsidRPr="00B76D94">
        <w:rPr>
          <w:rFonts w:ascii="Gadugi" w:hAnsi="Gadugi"/>
          <w:sz w:val="22"/>
        </w:rPr>
        <w:t xml:space="preserve">will take </w:t>
      </w:r>
      <w:r w:rsidR="008F280E" w:rsidRPr="00B76D94">
        <w:rPr>
          <w:rFonts w:ascii="Gadugi" w:hAnsi="Gadugi"/>
          <w:sz w:val="22"/>
        </w:rPr>
        <w:t xml:space="preserve">them </w:t>
      </w:r>
      <w:r w:rsidR="00BB3BD8" w:rsidRPr="00B76D94">
        <w:rPr>
          <w:rFonts w:ascii="Gadugi" w:hAnsi="Gadugi"/>
          <w:b/>
          <w:bCs/>
          <w:sz w:val="22"/>
        </w:rPr>
        <w:t xml:space="preserve">approximately </w:t>
      </w:r>
      <w:r w:rsidR="00816040" w:rsidRPr="00B76D94">
        <w:rPr>
          <w:rFonts w:ascii="Gadugi" w:hAnsi="Gadugi"/>
          <w:b/>
          <w:bCs/>
          <w:sz w:val="22"/>
        </w:rPr>
        <w:t>5</w:t>
      </w:r>
      <w:r w:rsidR="00E229B7" w:rsidRPr="00B76D94">
        <w:rPr>
          <w:rFonts w:ascii="Gadugi" w:hAnsi="Gadugi"/>
          <w:b/>
          <w:bCs/>
          <w:sz w:val="22"/>
        </w:rPr>
        <w:t xml:space="preserve"> hours </w:t>
      </w:r>
      <w:r w:rsidR="00BB3BD8" w:rsidRPr="00B76D94">
        <w:rPr>
          <w:rFonts w:ascii="Gadugi" w:hAnsi="Gadugi"/>
          <w:b/>
          <w:bCs/>
          <w:sz w:val="22"/>
        </w:rPr>
        <w:t>to complete.</w:t>
      </w:r>
      <w:r w:rsidR="00BB3BD8" w:rsidRPr="00B76D94">
        <w:rPr>
          <w:rFonts w:ascii="Gadugi" w:hAnsi="Gadugi"/>
          <w:sz w:val="22"/>
        </w:rPr>
        <w:t xml:space="preserve"> </w:t>
      </w:r>
      <w:r w:rsidR="009A3754" w:rsidRPr="00B76D94">
        <w:rPr>
          <w:rFonts w:ascii="Gadugi" w:hAnsi="Gadugi"/>
          <w:sz w:val="22"/>
        </w:rPr>
        <w:t xml:space="preserve">                 </w:t>
      </w:r>
      <w:r w:rsidR="00AA7760" w:rsidRPr="00B76D94">
        <w:rPr>
          <w:rFonts w:ascii="Gadugi" w:hAnsi="Gadugi"/>
          <w:sz w:val="22"/>
        </w:rPr>
        <w:t xml:space="preserve">       </w:t>
      </w:r>
      <w:r w:rsidR="00AA7760" w:rsidRPr="00816040">
        <w:rPr>
          <w:rFonts w:ascii="Gadugi" w:hAnsi="Gadugi"/>
          <w:color w:val="4472C4" w:themeColor="accent1"/>
          <w:sz w:val="22"/>
        </w:rPr>
        <w:t xml:space="preserve">      </w:t>
      </w:r>
    </w:p>
    <w:p w14:paraId="7A6FB305" w14:textId="1AA5FE08" w:rsidR="00A3611A" w:rsidRDefault="00A3611A" w:rsidP="00BB3BD8"/>
    <w:p w14:paraId="6D0F45B5" w14:textId="77777777" w:rsidR="00B76D94" w:rsidRDefault="00B76D94" w:rsidP="00BB3BD8"/>
    <w:p w14:paraId="3629035F" w14:textId="59AD8E1F" w:rsidR="00CC26EB" w:rsidRPr="00AA7760" w:rsidRDefault="001312A6" w:rsidP="00B85C7E">
      <w:pPr>
        <w:pStyle w:val="Heading2"/>
        <w:rPr>
          <w:rFonts w:ascii="Calibri Light" w:eastAsia="Times New Roman" w:hAnsi="Calibri Light" w:cs="Times New Roman"/>
          <w:b/>
          <w:bCs/>
          <w:color w:val="2F5496"/>
        </w:rPr>
      </w:pPr>
      <w:r w:rsidRPr="00AA7760">
        <w:rPr>
          <w:b/>
          <w:bCs/>
        </w:rPr>
        <w:lastRenderedPageBreak/>
        <w:t xml:space="preserve">Extra instructions for the activities in module </w:t>
      </w:r>
      <w:r w:rsidR="00B76D94">
        <w:rPr>
          <w:rFonts w:ascii="Calibri Light" w:eastAsia="Times New Roman" w:hAnsi="Calibri Light" w:cs="Times New Roman"/>
          <w:b/>
          <w:bCs/>
          <w:color w:val="2F5496"/>
        </w:rPr>
        <w:t>10</w:t>
      </w:r>
    </w:p>
    <w:p w14:paraId="53979B99" w14:textId="77777777" w:rsidR="00972474" w:rsidRPr="008E6C53" w:rsidRDefault="00972474" w:rsidP="00C30525">
      <w:pPr>
        <w:ind w:left="360"/>
        <w:rPr>
          <w:sz w:val="4"/>
          <w:szCs w:val="4"/>
        </w:rPr>
      </w:pPr>
    </w:p>
    <w:tbl>
      <w:tblPr>
        <w:tblStyle w:val="TableGrid"/>
        <w:tblW w:w="0" w:type="auto"/>
        <w:tblLook w:val="04A0" w:firstRow="1" w:lastRow="0" w:firstColumn="1" w:lastColumn="0" w:noHBand="0" w:noVBand="1"/>
      </w:tblPr>
      <w:tblGrid>
        <w:gridCol w:w="2263"/>
        <w:gridCol w:w="7473"/>
      </w:tblGrid>
      <w:tr w:rsidR="00CC26EB" w14:paraId="2B6F3ADC" w14:textId="77777777" w:rsidTr="00972474">
        <w:tc>
          <w:tcPr>
            <w:tcW w:w="2263" w:type="dxa"/>
            <w:shd w:val="clear" w:color="auto" w:fill="D9D9D9" w:themeFill="background1" w:themeFillShade="D9"/>
          </w:tcPr>
          <w:p w14:paraId="0AEE35D8" w14:textId="1243655F" w:rsidR="00CC26EB" w:rsidRPr="00AA7760" w:rsidRDefault="00CC26EB" w:rsidP="009D23B3">
            <w:pPr>
              <w:rPr>
                <w:rFonts w:ascii="Gadugi" w:hAnsi="Gadugi"/>
                <w:b/>
                <w:bCs/>
                <w:sz w:val="22"/>
              </w:rPr>
            </w:pPr>
            <w:r w:rsidRPr="00AA7760">
              <w:rPr>
                <w:rFonts w:ascii="Gadugi" w:hAnsi="Gadugi"/>
                <w:b/>
                <w:bCs/>
                <w:sz w:val="22"/>
              </w:rPr>
              <w:t>Activity</w:t>
            </w:r>
          </w:p>
        </w:tc>
        <w:tc>
          <w:tcPr>
            <w:tcW w:w="7473" w:type="dxa"/>
            <w:shd w:val="clear" w:color="auto" w:fill="D9D9D9" w:themeFill="background1" w:themeFillShade="D9"/>
          </w:tcPr>
          <w:p w14:paraId="6F946839" w14:textId="1563FC9D" w:rsidR="00CC26EB" w:rsidRPr="00AA7760" w:rsidRDefault="00CC26EB" w:rsidP="009D23B3">
            <w:pPr>
              <w:rPr>
                <w:rFonts w:ascii="Gadugi" w:hAnsi="Gadugi"/>
                <w:b/>
                <w:bCs/>
                <w:sz w:val="22"/>
              </w:rPr>
            </w:pPr>
            <w:r w:rsidRPr="00AA7760">
              <w:rPr>
                <w:rFonts w:ascii="Gadugi" w:hAnsi="Gadugi"/>
                <w:b/>
                <w:bCs/>
                <w:sz w:val="22"/>
              </w:rPr>
              <w:t>Additional points to consider</w:t>
            </w:r>
          </w:p>
        </w:tc>
      </w:tr>
      <w:tr w:rsidR="008544CF" w14:paraId="499478B1" w14:textId="77777777" w:rsidTr="00C773E4">
        <w:tc>
          <w:tcPr>
            <w:tcW w:w="2263" w:type="dxa"/>
            <w:shd w:val="clear" w:color="auto" w:fill="FFFFFF" w:themeFill="background1"/>
          </w:tcPr>
          <w:p w14:paraId="45D48464" w14:textId="0AE6C401" w:rsidR="008544CF" w:rsidRDefault="008544CF" w:rsidP="008544CF">
            <w:pPr>
              <w:rPr>
                <w:rFonts w:ascii="Gadugi" w:hAnsi="Gadugi"/>
                <w:sz w:val="22"/>
              </w:rPr>
            </w:pPr>
            <w:r w:rsidRPr="00287CDA">
              <w:rPr>
                <w:rFonts w:ascii="Gadugi" w:hAnsi="Gadugi"/>
                <w:color w:val="000000" w:themeColor="text1"/>
                <w:sz w:val="22"/>
              </w:rPr>
              <w:t>Prior knowledge assessment</w:t>
            </w:r>
            <w:r>
              <w:rPr>
                <w:rFonts w:ascii="Gadugi" w:hAnsi="Gadugi"/>
                <w:color w:val="000000" w:themeColor="text1"/>
                <w:sz w:val="22"/>
              </w:rPr>
              <w:t xml:space="preserve"> of module </w:t>
            </w:r>
            <w:r w:rsidR="00B76D94">
              <w:rPr>
                <w:rFonts w:ascii="Gadugi" w:hAnsi="Gadugi"/>
                <w:color w:val="000000" w:themeColor="text1"/>
                <w:sz w:val="22"/>
              </w:rPr>
              <w:t>9</w:t>
            </w:r>
          </w:p>
        </w:tc>
        <w:tc>
          <w:tcPr>
            <w:tcW w:w="7473" w:type="dxa"/>
            <w:shd w:val="clear" w:color="auto" w:fill="FFFFFF" w:themeFill="background1"/>
          </w:tcPr>
          <w:p w14:paraId="04E7BEEF" w14:textId="7ABD8A32" w:rsidR="008544CF" w:rsidRPr="00AA7760" w:rsidRDefault="008544CF" w:rsidP="008544CF">
            <w:pPr>
              <w:rPr>
                <w:rFonts w:ascii="Gadugi" w:hAnsi="Gadugi"/>
                <w:sz w:val="22"/>
              </w:rPr>
            </w:pPr>
            <w:r w:rsidRPr="00287CDA">
              <w:rPr>
                <w:rFonts w:ascii="Gadugi" w:hAnsi="Gadugi"/>
                <w:color w:val="000000" w:themeColor="text1"/>
                <w:sz w:val="22"/>
              </w:rPr>
              <w:t xml:space="preserve">The first task is a recap assessment of module </w:t>
            </w:r>
            <w:r w:rsidR="00B76D94">
              <w:rPr>
                <w:rFonts w:ascii="Gadugi" w:hAnsi="Gadugi"/>
                <w:color w:val="000000" w:themeColor="text1"/>
                <w:sz w:val="22"/>
              </w:rPr>
              <w:t>9</w:t>
            </w:r>
            <w:r w:rsidRPr="00287CDA">
              <w:rPr>
                <w:rFonts w:ascii="Gadugi" w:hAnsi="Gadugi"/>
                <w:color w:val="000000" w:themeColor="text1"/>
                <w:sz w:val="22"/>
              </w:rPr>
              <w:t xml:space="preserve">. This reminds the learner of the previous module contents and helps them to recall important information in preparation for this module.  After the first attempt, suggest that the learners refer back to the </w:t>
            </w:r>
            <w:r w:rsidR="00B76D94">
              <w:rPr>
                <w:rFonts w:ascii="Gadugi" w:hAnsi="Gadugi"/>
                <w:color w:val="000000" w:themeColor="text1"/>
                <w:sz w:val="22"/>
              </w:rPr>
              <w:t>9th</w:t>
            </w:r>
            <w:r w:rsidR="006D4C66">
              <w:rPr>
                <w:rFonts w:ascii="Gadugi" w:hAnsi="Gadugi"/>
                <w:color w:val="000000" w:themeColor="text1"/>
                <w:sz w:val="22"/>
              </w:rPr>
              <w:t xml:space="preserve"> </w:t>
            </w:r>
            <w:r w:rsidRPr="00287CDA">
              <w:rPr>
                <w:rFonts w:ascii="Gadugi" w:hAnsi="Gadugi"/>
                <w:color w:val="000000" w:themeColor="text1"/>
                <w:sz w:val="22"/>
              </w:rPr>
              <w:t xml:space="preserve">module to check their answers. </w:t>
            </w:r>
          </w:p>
        </w:tc>
      </w:tr>
      <w:tr w:rsidR="00CC26EB" w14:paraId="240724D9" w14:textId="77777777" w:rsidTr="00972474">
        <w:tc>
          <w:tcPr>
            <w:tcW w:w="2263" w:type="dxa"/>
          </w:tcPr>
          <w:p w14:paraId="05D65CAF" w14:textId="7E837DC2" w:rsidR="00FD2D61" w:rsidRPr="001B75CF" w:rsidRDefault="00863A6B" w:rsidP="001B75CF">
            <w:pPr>
              <w:rPr>
                <w:rFonts w:ascii="Gadugi" w:hAnsi="Gadugi"/>
                <w:sz w:val="22"/>
              </w:rPr>
            </w:pPr>
            <w:r>
              <w:rPr>
                <w:rFonts w:ascii="Gadugi" w:hAnsi="Gadugi"/>
                <w:sz w:val="22"/>
              </w:rPr>
              <w:t xml:space="preserve">Activity </w:t>
            </w:r>
            <w:r w:rsidR="00B76D94">
              <w:rPr>
                <w:rFonts w:ascii="Gadugi" w:hAnsi="Gadugi"/>
                <w:sz w:val="22"/>
              </w:rPr>
              <w:t>10</w:t>
            </w:r>
            <w:r w:rsidR="001B75CF">
              <w:rPr>
                <w:rFonts w:ascii="Gadugi" w:hAnsi="Gadugi"/>
                <w:sz w:val="22"/>
              </w:rPr>
              <w:t>.1 -</w:t>
            </w:r>
            <w:r w:rsidR="00FD2D61" w:rsidRPr="001B75CF">
              <w:rPr>
                <w:rFonts w:ascii="Gadugi" w:hAnsi="Gadugi"/>
                <w:sz w:val="22"/>
              </w:rPr>
              <w:t xml:space="preserve"> </w:t>
            </w:r>
          </w:p>
          <w:p w14:paraId="6531CFFA" w14:textId="2FC0785D" w:rsidR="00CC26EB" w:rsidRPr="00FD2D61" w:rsidRDefault="00BB3BD8" w:rsidP="00FD2D61">
            <w:pPr>
              <w:rPr>
                <w:rFonts w:ascii="Gadugi" w:hAnsi="Gadugi"/>
                <w:sz w:val="22"/>
              </w:rPr>
            </w:pPr>
            <w:r w:rsidRPr="00FD2D61">
              <w:rPr>
                <w:rFonts w:ascii="Gadugi" w:hAnsi="Gadugi"/>
                <w:sz w:val="22"/>
              </w:rPr>
              <w:t>Self- assessment</w:t>
            </w:r>
          </w:p>
        </w:tc>
        <w:tc>
          <w:tcPr>
            <w:tcW w:w="7473" w:type="dxa"/>
          </w:tcPr>
          <w:p w14:paraId="4304A3A7" w14:textId="49193D74" w:rsidR="00CC26EB" w:rsidRPr="00AA7760" w:rsidRDefault="00F407CC" w:rsidP="009D23B3">
            <w:pPr>
              <w:rPr>
                <w:rFonts w:ascii="Gadugi" w:hAnsi="Gadugi"/>
                <w:sz w:val="22"/>
              </w:rPr>
            </w:pPr>
            <w:r w:rsidRPr="00AA7760">
              <w:rPr>
                <w:rFonts w:ascii="Gadugi" w:hAnsi="Gadugi"/>
                <w:sz w:val="22"/>
              </w:rPr>
              <w:t xml:space="preserve">Some </w:t>
            </w:r>
            <w:r w:rsidR="009B1314" w:rsidRPr="00AA7760">
              <w:rPr>
                <w:rFonts w:ascii="Gadugi" w:hAnsi="Gadugi"/>
                <w:sz w:val="22"/>
              </w:rPr>
              <w:t xml:space="preserve">participants may need encouragement to be honest in their self-assessment. Ensure that they know </w:t>
            </w:r>
            <w:r w:rsidR="001B75CF">
              <w:rPr>
                <w:rFonts w:ascii="Gadugi" w:hAnsi="Gadugi"/>
                <w:sz w:val="22"/>
              </w:rPr>
              <w:t xml:space="preserve">that </w:t>
            </w:r>
            <w:r w:rsidR="00F14377" w:rsidRPr="00AA7760">
              <w:rPr>
                <w:rFonts w:ascii="Gadugi" w:hAnsi="Gadugi"/>
                <w:sz w:val="22"/>
              </w:rPr>
              <w:t xml:space="preserve">their understanding and confidence will develop over time. </w:t>
            </w:r>
            <w:r w:rsidR="003B3596" w:rsidRPr="00AA7760">
              <w:rPr>
                <w:rFonts w:ascii="Gadugi" w:hAnsi="Gadugi"/>
                <w:sz w:val="22"/>
              </w:rPr>
              <w:t>The r</w:t>
            </w:r>
            <w:r w:rsidR="00BB3BD8" w:rsidRPr="00AA7760">
              <w:rPr>
                <w:rFonts w:ascii="Gadugi" w:hAnsi="Gadugi"/>
                <w:sz w:val="22"/>
              </w:rPr>
              <w:t xml:space="preserve">esults from this </w:t>
            </w:r>
            <w:r w:rsidR="00F14377" w:rsidRPr="00AA7760">
              <w:rPr>
                <w:rFonts w:ascii="Gadugi" w:hAnsi="Gadugi"/>
                <w:sz w:val="22"/>
              </w:rPr>
              <w:t xml:space="preserve">self-assessment </w:t>
            </w:r>
            <w:r w:rsidR="00BB3BD8" w:rsidRPr="00AA7760">
              <w:rPr>
                <w:rFonts w:ascii="Gadugi" w:hAnsi="Gadugi"/>
                <w:sz w:val="22"/>
              </w:rPr>
              <w:t xml:space="preserve">will be compared to </w:t>
            </w:r>
            <w:r w:rsidR="00F14377" w:rsidRPr="00AA7760">
              <w:rPr>
                <w:rFonts w:ascii="Gadugi" w:hAnsi="Gadugi"/>
                <w:sz w:val="22"/>
              </w:rPr>
              <w:t>another</w:t>
            </w:r>
            <w:r w:rsidR="0054548F" w:rsidRPr="00AA7760">
              <w:rPr>
                <w:rFonts w:ascii="Gadugi" w:hAnsi="Gadugi"/>
                <w:sz w:val="22"/>
              </w:rPr>
              <w:t xml:space="preserve"> self-assessment</w:t>
            </w:r>
            <w:r w:rsidR="00BC44FE" w:rsidRPr="00AA7760">
              <w:rPr>
                <w:rFonts w:ascii="Gadugi" w:hAnsi="Gadugi"/>
                <w:sz w:val="22"/>
              </w:rPr>
              <w:t xml:space="preserve"> at the end of the module</w:t>
            </w:r>
            <w:r w:rsidR="00F14377" w:rsidRPr="00AA7760">
              <w:rPr>
                <w:rFonts w:ascii="Gadugi" w:hAnsi="Gadugi"/>
                <w:sz w:val="22"/>
              </w:rPr>
              <w:t xml:space="preserve">, allowing participants to make </w:t>
            </w:r>
            <w:r w:rsidR="00BB3BD8" w:rsidRPr="00AA7760">
              <w:rPr>
                <w:rFonts w:ascii="Gadugi" w:hAnsi="Gadugi"/>
                <w:sz w:val="22"/>
              </w:rPr>
              <w:t xml:space="preserve">comparisons </w:t>
            </w:r>
            <w:r w:rsidR="00F14377" w:rsidRPr="00AA7760">
              <w:rPr>
                <w:rFonts w:ascii="Gadugi" w:hAnsi="Gadugi"/>
                <w:sz w:val="22"/>
              </w:rPr>
              <w:t xml:space="preserve">and reflect on their learning. </w:t>
            </w:r>
          </w:p>
        </w:tc>
      </w:tr>
      <w:tr w:rsidR="00560AAF" w14:paraId="07C298FA" w14:textId="77777777" w:rsidTr="00972474">
        <w:tc>
          <w:tcPr>
            <w:tcW w:w="2263" w:type="dxa"/>
          </w:tcPr>
          <w:p w14:paraId="4A341F94" w14:textId="164AED9E" w:rsidR="00560AAF" w:rsidRDefault="00863A6B" w:rsidP="001B75CF">
            <w:pPr>
              <w:rPr>
                <w:rFonts w:ascii="Gadugi" w:hAnsi="Gadugi"/>
                <w:sz w:val="22"/>
              </w:rPr>
            </w:pPr>
            <w:r>
              <w:rPr>
                <w:rFonts w:ascii="Gadugi" w:hAnsi="Gadugi"/>
                <w:sz w:val="22"/>
              </w:rPr>
              <w:t xml:space="preserve">Activity </w:t>
            </w:r>
            <w:r w:rsidR="004D24A7">
              <w:rPr>
                <w:rFonts w:ascii="Gadugi" w:hAnsi="Gadugi"/>
                <w:sz w:val="22"/>
              </w:rPr>
              <w:t>10</w:t>
            </w:r>
            <w:r w:rsidR="00560AAF">
              <w:rPr>
                <w:rFonts w:ascii="Gadugi" w:hAnsi="Gadugi"/>
                <w:sz w:val="22"/>
              </w:rPr>
              <w:t xml:space="preserve">.2 - </w:t>
            </w:r>
            <w:r w:rsidR="004D24A7">
              <w:rPr>
                <w:rFonts w:ascii="Gadugi" w:hAnsi="Gadugi"/>
                <w:sz w:val="22"/>
              </w:rPr>
              <w:t>D</w:t>
            </w:r>
            <w:r w:rsidR="004D24A7" w:rsidRPr="004D24A7">
              <w:rPr>
                <w:rFonts w:ascii="Gadugi" w:hAnsi="Gadugi"/>
                <w:sz w:val="22"/>
              </w:rPr>
              <w:t>ifference between a policy, a law and a practice</w:t>
            </w:r>
          </w:p>
        </w:tc>
        <w:tc>
          <w:tcPr>
            <w:tcW w:w="7473" w:type="dxa"/>
          </w:tcPr>
          <w:p w14:paraId="4CAC443C" w14:textId="38843696" w:rsidR="00560AAF" w:rsidRPr="00AA7760" w:rsidRDefault="00061C78" w:rsidP="009D23B3">
            <w:pPr>
              <w:rPr>
                <w:rFonts w:ascii="Gadugi" w:hAnsi="Gadugi"/>
                <w:sz w:val="22"/>
              </w:rPr>
            </w:pPr>
            <w:r>
              <w:rPr>
                <w:rFonts w:ascii="Gadugi" w:hAnsi="Gadugi"/>
                <w:sz w:val="22"/>
              </w:rPr>
              <w:t xml:space="preserve">Participants are </w:t>
            </w:r>
            <w:r w:rsidR="004D24A7">
              <w:rPr>
                <w:rFonts w:ascii="Gadugi" w:hAnsi="Gadugi"/>
                <w:sz w:val="22"/>
              </w:rPr>
              <w:t>asked to match the three key words: policy, law and practice with three jumbled definitions. They can either draw a line between the two that match or simply write the number and letter as a pair.</w:t>
            </w:r>
            <w:r w:rsidR="00E64618">
              <w:rPr>
                <w:rFonts w:ascii="Gadugi" w:hAnsi="Gadugi"/>
                <w:sz w:val="22"/>
              </w:rPr>
              <w:t xml:space="preserve"> Facilitators might decide to not provide the definitions and ask participants to create their own definitions and then compare. Ask participants to write the agreed definitions into their learning journal. </w:t>
            </w:r>
          </w:p>
        </w:tc>
      </w:tr>
      <w:tr w:rsidR="004D24A7" w:rsidRPr="004D24A7" w14:paraId="57E4053B" w14:textId="77777777" w:rsidTr="00972474">
        <w:tc>
          <w:tcPr>
            <w:tcW w:w="2263" w:type="dxa"/>
          </w:tcPr>
          <w:p w14:paraId="4894C8EB" w14:textId="77777777" w:rsidR="006415C1" w:rsidRDefault="00863A6B" w:rsidP="001B75CF">
            <w:pPr>
              <w:rPr>
                <w:rFonts w:ascii="Gadugi" w:hAnsi="Gadugi"/>
                <w:sz w:val="22"/>
              </w:rPr>
            </w:pPr>
            <w:r w:rsidRPr="004D24A7">
              <w:rPr>
                <w:rFonts w:ascii="Gadugi" w:hAnsi="Gadugi"/>
                <w:sz w:val="22"/>
              </w:rPr>
              <w:t xml:space="preserve">Activity </w:t>
            </w:r>
            <w:r w:rsidR="004D24A7" w:rsidRPr="004D24A7">
              <w:rPr>
                <w:rFonts w:ascii="Gadugi" w:hAnsi="Gadugi"/>
                <w:sz w:val="22"/>
              </w:rPr>
              <w:t>10</w:t>
            </w:r>
            <w:r w:rsidR="001B75CF" w:rsidRPr="004D24A7">
              <w:rPr>
                <w:rFonts w:ascii="Gadugi" w:hAnsi="Gadugi"/>
                <w:sz w:val="22"/>
              </w:rPr>
              <w:t>.</w:t>
            </w:r>
            <w:r w:rsidR="00667D4B" w:rsidRPr="004D24A7">
              <w:rPr>
                <w:rFonts w:ascii="Gadugi" w:hAnsi="Gadugi"/>
                <w:sz w:val="22"/>
              </w:rPr>
              <w:t>3</w:t>
            </w:r>
            <w:r w:rsidR="00FE080A" w:rsidRPr="004D24A7">
              <w:rPr>
                <w:rFonts w:ascii="Gadugi" w:hAnsi="Gadugi"/>
                <w:sz w:val="22"/>
              </w:rPr>
              <w:t xml:space="preserve">- </w:t>
            </w:r>
          </w:p>
          <w:p w14:paraId="411D50E1" w14:textId="3AF054E1" w:rsidR="00CC26EB" w:rsidRPr="004D24A7" w:rsidRDefault="00BD4322" w:rsidP="001B75CF">
            <w:pPr>
              <w:rPr>
                <w:rFonts w:ascii="Gadugi" w:hAnsi="Gadugi"/>
                <w:color w:val="4472C4" w:themeColor="accent1"/>
                <w:sz w:val="22"/>
              </w:rPr>
            </w:pPr>
            <w:r>
              <w:rPr>
                <w:rFonts w:ascii="Gadugi" w:hAnsi="Gadugi"/>
                <w:sz w:val="22"/>
              </w:rPr>
              <w:t>P</w:t>
            </w:r>
            <w:r w:rsidR="004D24A7" w:rsidRPr="004D24A7">
              <w:rPr>
                <w:rFonts w:ascii="Gadugi" w:hAnsi="Gadugi"/>
                <w:sz w:val="22"/>
              </w:rPr>
              <w:t>olicy</w:t>
            </w:r>
            <w:r>
              <w:rPr>
                <w:rFonts w:ascii="Gadugi" w:hAnsi="Gadugi"/>
                <w:sz w:val="22"/>
              </w:rPr>
              <w:t xml:space="preserve">, </w:t>
            </w:r>
            <w:r w:rsidR="004D24A7" w:rsidRPr="004D24A7">
              <w:rPr>
                <w:rFonts w:ascii="Gadugi" w:hAnsi="Gadugi"/>
                <w:sz w:val="22"/>
              </w:rPr>
              <w:t>law, and practice</w:t>
            </w:r>
          </w:p>
        </w:tc>
        <w:tc>
          <w:tcPr>
            <w:tcW w:w="7473" w:type="dxa"/>
          </w:tcPr>
          <w:p w14:paraId="1CB49C7C" w14:textId="76DD950B" w:rsidR="006415C1" w:rsidRPr="005926F3" w:rsidRDefault="002110EC" w:rsidP="00CE7BDA">
            <w:pPr>
              <w:rPr>
                <w:rFonts w:ascii="Gadugi" w:hAnsi="Gadugi"/>
                <w:sz w:val="22"/>
              </w:rPr>
            </w:pPr>
            <w:r w:rsidRPr="006415C1">
              <w:rPr>
                <w:rFonts w:ascii="Gadugi" w:hAnsi="Gadugi"/>
                <w:sz w:val="22"/>
              </w:rPr>
              <w:t>This activity</w:t>
            </w:r>
            <w:r w:rsidR="001B75CF" w:rsidRPr="006415C1">
              <w:rPr>
                <w:rFonts w:ascii="Gadugi" w:hAnsi="Gadugi"/>
                <w:sz w:val="22"/>
              </w:rPr>
              <w:t xml:space="preserve"> </w:t>
            </w:r>
            <w:r w:rsidR="004D24A7" w:rsidRPr="006415C1">
              <w:rPr>
                <w:rFonts w:ascii="Gadugi" w:hAnsi="Gadugi"/>
                <w:sz w:val="22"/>
              </w:rPr>
              <w:t xml:space="preserve">encourages the participants to consider the differences in policy, law and practice by asking them who they think are responsible for each. </w:t>
            </w:r>
            <w:r w:rsidR="006415C1" w:rsidRPr="006415C1">
              <w:rPr>
                <w:rFonts w:ascii="Gadugi" w:hAnsi="Gadugi"/>
                <w:sz w:val="22"/>
              </w:rPr>
              <w:t xml:space="preserve">They need to identify who they think are responsible by putting a tick in the corresponding column. </w:t>
            </w:r>
            <w:r w:rsidR="00CE7BDA" w:rsidRPr="006415C1">
              <w:rPr>
                <w:rFonts w:ascii="Gadugi" w:hAnsi="Gadugi"/>
                <w:sz w:val="22"/>
              </w:rPr>
              <w:t xml:space="preserve">Participants record their answers in their learning journals. Encourage </w:t>
            </w:r>
            <w:r w:rsidR="005926F3">
              <w:rPr>
                <w:rFonts w:ascii="Gadugi" w:hAnsi="Gadugi"/>
                <w:sz w:val="22"/>
              </w:rPr>
              <w:t>them,</w:t>
            </w:r>
            <w:r w:rsidR="00CE7BDA" w:rsidRPr="006415C1">
              <w:rPr>
                <w:rFonts w:ascii="Gadugi" w:hAnsi="Gadugi"/>
                <w:sz w:val="22"/>
              </w:rPr>
              <w:t xml:space="preserve"> if possible</w:t>
            </w:r>
            <w:r w:rsidR="005926F3">
              <w:rPr>
                <w:rFonts w:ascii="Gadugi" w:hAnsi="Gadugi"/>
                <w:sz w:val="22"/>
              </w:rPr>
              <w:t>,</w:t>
            </w:r>
            <w:r w:rsidR="00CE7BDA" w:rsidRPr="006415C1">
              <w:rPr>
                <w:rFonts w:ascii="Gadugi" w:hAnsi="Gadugi"/>
                <w:sz w:val="22"/>
              </w:rPr>
              <w:t xml:space="preserve"> to discuss with colleagues to check each other’s’ understanding.</w:t>
            </w:r>
            <w:r w:rsidR="005926F3">
              <w:rPr>
                <w:rFonts w:ascii="Gadugi" w:hAnsi="Gadugi"/>
                <w:sz w:val="22"/>
              </w:rPr>
              <w:t xml:space="preserve"> </w:t>
            </w:r>
            <w:r w:rsidR="006415C1">
              <w:rPr>
                <w:rFonts w:ascii="Gadugi" w:hAnsi="Gadugi"/>
                <w:sz w:val="22"/>
              </w:rPr>
              <w:t xml:space="preserve">The extension activity is optional but encourages </w:t>
            </w:r>
            <w:r w:rsidR="005926F3">
              <w:rPr>
                <w:rFonts w:ascii="Gadugi" w:hAnsi="Gadugi"/>
                <w:sz w:val="22"/>
              </w:rPr>
              <w:t xml:space="preserve">participants </w:t>
            </w:r>
            <w:r w:rsidR="006415C1">
              <w:rPr>
                <w:rFonts w:ascii="Gadugi" w:hAnsi="Gadugi"/>
                <w:sz w:val="22"/>
              </w:rPr>
              <w:t>to think about the different levels of the organisations involved. They need to place them in order of highest to lowest level.</w:t>
            </w:r>
          </w:p>
        </w:tc>
      </w:tr>
      <w:tr w:rsidR="004D24A7" w:rsidRPr="004D24A7" w14:paraId="00742BC8" w14:textId="77777777" w:rsidTr="00972474">
        <w:tc>
          <w:tcPr>
            <w:tcW w:w="2263" w:type="dxa"/>
          </w:tcPr>
          <w:p w14:paraId="42AC7562" w14:textId="539D5529" w:rsidR="00CC26EB" w:rsidRPr="004D24A7" w:rsidRDefault="00863A6B" w:rsidP="001B75CF">
            <w:pPr>
              <w:rPr>
                <w:rFonts w:ascii="Gadugi" w:hAnsi="Gadugi"/>
                <w:color w:val="4472C4" w:themeColor="accent1"/>
                <w:sz w:val="22"/>
              </w:rPr>
            </w:pPr>
            <w:r w:rsidRPr="006415C1">
              <w:rPr>
                <w:rFonts w:ascii="Gadugi" w:hAnsi="Gadugi"/>
                <w:sz w:val="22"/>
              </w:rPr>
              <w:t xml:space="preserve">Activity </w:t>
            </w:r>
            <w:r w:rsidR="006415C1" w:rsidRPr="006415C1">
              <w:rPr>
                <w:rFonts w:ascii="Gadugi" w:hAnsi="Gadugi"/>
                <w:sz w:val="22"/>
              </w:rPr>
              <w:t>10</w:t>
            </w:r>
            <w:r w:rsidR="001B75CF" w:rsidRPr="006415C1">
              <w:rPr>
                <w:rFonts w:ascii="Gadugi" w:hAnsi="Gadugi"/>
                <w:sz w:val="22"/>
              </w:rPr>
              <w:t>.</w:t>
            </w:r>
            <w:r w:rsidR="0015342C" w:rsidRPr="006415C1">
              <w:rPr>
                <w:rFonts w:ascii="Gadugi" w:hAnsi="Gadugi"/>
                <w:sz w:val="22"/>
              </w:rPr>
              <w:t>4</w:t>
            </w:r>
            <w:r w:rsidR="007D2500" w:rsidRPr="006415C1">
              <w:rPr>
                <w:rFonts w:ascii="Gadugi" w:hAnsi="Gadugi"/>
                <w:sz w:val="22"/>
              </w:rPr>
              <w:t xml:space="preserve">- </w:t>
            </w:r>
            <w:r w:rsidR="006415C1" w:rsidRPr="006415C1">
              <w:rPr>
                <w:rFonts w:ascii="Gadugi" w:hAnsi="Gadugi"/>
                <w:sz w:val="22"/>
              </w:rPr>
              <w:t>Inclusive Education policy (international)</w:t>
            </w:r>
          </w:p>
        </w:tc>
        <w:tc>
          <w:tcPr>
            <w:tcW w:w="7473" w:type="dxa"/>
          </w:tcPr>
          <w:p w14:paraId="6986B10A" w14:textId="5E2CF5DB" w:rsidR="009E5B8C" w:rsidRPr="00AA46D8" w:rsidRDefault="00987EEE" w:rsidP="009D23B3">
            <w:pPr>
              <w:rPr>
                <w:rFonts w:ascii="Gadugi" w:hAnsi="Gadugi"/>
                <w:sz w:val="22"/>
              </w:rPr>
            </w:pPr>
            <w:r w:rsidRPr="00AA46D8">
              <w:rPr>
                <w:rFonts w:ascii="Gadugi" w:hAnsi="Gadugi"/>
                <w:sz w:val="22"/>
              </w:rPr>
              <w:t xml:space="preserve">This is </w:t>
            </w:r>
            <w:r w:rsidR="006415C1" w:rsidRPr="00AA46D8">
              <w:rPr>
                <w:rFonts w:ascii="Gadugi" w:hAnsi="Gadugi"/>
                <w:sz w:val="22"/>
              </w:rPr>
              <w:t>activity introduces where the policies ab</w:t>
            </w:r>
            <w:r w:rsidR="009E5B8C" w:rsidRPr="00AA46D8">
              <w:rPr>
                <w:rFonts w:ascii="Gadugi" w:hAnsi="Gadugi"/>
                <w:sz w:val="22"/>
              </w:rPr>
              <w:t>out</w:t>
            </w:r>
            <w:r w:rsidR="006415C1" w:rsidRPr="00AA46D8">
              <w:rPr>
                <w:rFonts w:ascii="Gadugi" w:hAnsi="Gadugi"/>
                <w:sz w:val="22"/>
              </w:rPr>
              <w:t xml:space="preserve"> Inclusive Education</w:t>
            </w:r>
            <w:r w:rsidR="009E5B8C" w:rsidRPr="00AA46D8">
              <w:rPr>
                <w:rFonts w:ascii="Gadugi" w:hAnsi="Gadugi"/>
                <w:sz w:val="22"/>
              </w:rPr>
              <w:t xml:space="preserve"> originate internationally. They are signposted to SDG4 (quality education) and are asked to scan read the document online (either in English or Myanmar). </w:t>
            </w:r>
            <w:r w:rsidR="00C74B3F">
              <w:rPr>
                <w:rFonts w:ascii="Gadugi" w:hAnsi="Gadugi"/>
                <w:sz w:val="22"/>
              </w:rPr>
              <w:t>Participants</w:t>
            </w:r>
            <w:r w:rsidR="009E5B8C" w:rsidRPr="00AA46D8">
              <w:rPr>
                <w:rFonts w:ascii="Gadugi" w:hAnsi="Gadugi"/>
                <w:sz w:val="22"/>
              </w:rPr>
              <w:t xml:space="preserve"> are asked to record in their learning journal, the titles of each target from 4.1 – 4.7. Target 4.5 is highlighted as this is the most important for IE.</w:t>
            </w:r>
            <w:r w:rsidR="00505A05">
              <w:rPr>
                <w:rFonts w:ascii="Gadugi" w:hAnsi="Gadugi"/>
                <w:sz w:val="22"/>
              </w:rPr>
              <w:t xml:space="preserve"> If possible, link pairs of students in relation to access to the internet.</w:t>
            </w:r>
          </w:p>
          <w:p w14:paraId="6D200531" w14:textId="1D751277" w:rsidR="004F4D98" w:rsidRPr="00AA46D8" w:rsidRDefault="009E5B8C" w:rsidP="009D23B3">
            <w:pPr>
              <w:rPr>
                <w:rFonts w:ascii="Gadugi" w:hAnsi="Gadugi"/>
                <w:sz w:val="22"/>
              </w:rPr>
            </w:pPr>
            <w:r w:rsidRPr="00AA46D8">
              <w:rPr>
                <w:rFonts w:ascii="Gadugi" w:hAnsi="Gadugi"/>
                <w:sz w:val="22"/>
              </w:rPr>
              <w:t>Participant</w:t>
            </w:r>
            <w:r w:rsidR="00C74B3F">
              <w:rPr>
                <w:rFonts w:ascii="Gadugi" w:hAnsi="Gadugi"/>
                <w:sz w:val="22"/>
              </w:rPr>
              <w:t>s</w:t>
            </w:r>
            <w:r w:rsidRPr="00AA46D8">
              <w:rPr>
                <w:rFonts w:ascii="Gadugi" w:hAnsi="Gadugi"/>
                <w:sz w:val="22"/>
              </w:rPr>
              <w:t xml:space="preserve"> who find this difficult can be signposted to the next reading task</w:t>
            </w:r>
            <w:r w:rsidR="00C74B3F">
              <w:rPr>
                <w:rFonts w:ascii="Gadugi" w:hAnsi="Gadugi"/>
                <w:sz w:val="22"/>
              </w:rPr>
              <w:t xml:space="preserve"> which </w:t>
            </w:r>
            <w:r w:rsidR="00AA46D8" w:rsidRPr="00AA46D8">
              <w:rPr>
                <w:rFonts w:ascii="Gadugi" w:hAnsi="Gadugi"/>
                <w:sz w:val="22"/>
              </w:rPr>
              <w:t xml:space="preserve">contains an extract from the online SDG </w:t>
            </w:r>
            <w:r w:rsidR="00AA46D8">
              <w:rPr>
                <w:rFonts w:ascii="Gadugi" w:hAnsi="Gadugi"/>
                <w:sz w:val="22"/>
              </w:rPr>
              <w:t xml:space="preserve">4.5 </w:t>
            </w:r>
            <w:r w:rsidR="00AA46D8" w:rsidRPr="00AA46D8">
              <w:rPr>
                <w:rFonts w:ascii="Gadugi" w:hAnsi="Gadugi"/>
                <w:sz w:val="22"/>
              </w:rPr>
              <w:t xml:space="preserve">so they can read </w:t>
            </w:r>
            <w:r w:rsidR="00C74B3F">
              <w:rPr>
                <w:rFonts w:ascii="Gadugi" w:hAnsi="Gadugi"/>
                <w:sz w:val="22"/>
              </w:rPr>
              <w:t xml:space="preserve">it </w:t>
            </w:r>
            <w:r w:rsidR="00AA46D8" w:rsidRPr="00AA46D8">
              <w:rPr>
                <w:rFonts w:ascii="Gadugi" w:hAnsi="Gadugi"/>
                <w:sz w:val="22"/>
              </w:rPr>
              <w:t>in full.</w:t>
            </w:r>
          </w:p>
        </w:tc>
      </w:tr>
      <w:tr w:rsidR="009E5B8C" w:rsidRPr="004D24A7" w14:paraId="0D4544F5" w14:textId="77777777" w:rsidTr="00972474">
        <w:tc>
          <w:tcPr>
            <w:tcW w:w="2263" w:type="dxa"/>
          </w:tcPr>
          <w:p w14:paraId="0DF2C746" w14:textId="36DA44D3" w:rsidR="009E5B8C" w:rsidRPr="006415C1" w:rsidRDefault="009E5B8C" w:rsidP="001B75CF">
            <w:pPr>
              <w:rPr>
                <w:rFonts w:ascii="Gadugi" w:hAnsi="Gadugi"/>
                <w:sz w:val="22"/>
              </w:rPr>
            </w:pPr>
            <w:r>
              <w:rPr>
                <w:rFonts w:ascii="Gadugi" w:hAnsi="Gadugi"/>
                <w:sz w:val="22"/>
              </w:rPr>
              <w:t>Reading task</w:t>
            </w:r>
          </w:p>
        </w:tc>
        <w:tc>
          <w:tcPr>
            <w:tcW w:w="7473" w:type="dxa"/>
          </w:tcPr>
          <w:p w14:paraId="35D37BE8" w14:textId="33C68A2E" w:rsidR="009E5B8C" w:rsidRPr="004D24A7" w:rsidRDefault="00AA46D8" w:rsidP="009D23B3">
            <w:pPr>
              <w:rPr>
                <w:rFonts w:ascii="Gadugi" w:hAnsi="Gadugi"/>
                <w:color w:val="4472C4" w:themeColor="accent1"/>
                <w:sz w:val="22"/>
              </w:rPr>
            </w:pPr>
            <w:r w:rsidRPr="00AA46D8">
              <w:rPr>
                <w:rFonts w:ascii="Gadugi" w:hAnsi="Gadugi"/>
                <w:sz w:val="22"/>
              </w:rPr>
              <w:t>This task contains an extract from the online SDG 4.5 for those who find it difficult to access the online version. It focusses specifically on the international goal of 193 countries to eliminate discrimination</w:t>
            </w:r>
            <w:r>
              <w:rPr>
                <w:rFonts w:ascii="Gadugi" w:hAnsi="Gadugi"/>
                <w:sz w:val="22"/>
              </w:rPr>
              <w:t xml:space="preserve"> in education</w:t>
            </w:r>
            <w:r w:rsidRPr="00AA46D8">
              <w:rPr>
                <w:rFonts w:ascii="Gadugi" w:hAnsi="Gadugi"/>
                <w:sz w:val="22"/>
              </w:rPr>
              <w:t>.</w:t>
            </w:r>
          </w:p>
        </w:tc>
      </w:tr>
      <w:tr w:rsidR="004D24A7" w:rsidRPr="004D24A7" w14:paraId="6A55739E" w14:textId="77777777" w:rsidTr="00972474">
        <w:tc>
          <w:tcPr>
            <w:tcW w:w="2263" w:type="dxa"/>
          </w:tcPr>
          <w:p w14:paraId="03C03841" w14:textId="0CC17466" w:rsidR="00CC26EB" w:rsidRPr="004D24A7" w:rsidRDefault="00863A6B" w:rsidP="009D23B3">
            <w:pPr>
              <w:rPr>
                <w:rFonts w:ascii="Gadugi" w:hAnsi="Gadugi"/>
                <w:color w:val="4472C4" w:themeColor="accent1"/>
                <w:sz w:val="22"/>
              </w:rPr>
            </w:pPr>
            <w:r w:rsidRPr="00DB6208">
              <w:rPr>
                <w:rFonts w:ascii="Gadugi" w:hAnsi="Gadugi"/>
                <w:sz w:val="22"/>
              </w:rPr>
              <w:t xml:space="preserve">Activity </w:t>
            </w:r>
            <w:r w:rsidR="00AA46D8" w:rsidRPr="00DB6208">
              <w:rPr>
                <w:rFonts w:ascii="Gadugi" w:hAnsi="Gadugi"/>
                <w:sz w:val="22"/>
              </w:rPr>
              <w:t>10</w:t>
            </w:r>
            <w:r w:rsidR="00C200BC" w:rsidRPr="00DB6208">
              <w:rPr>
                <w:rFonts w:ascii="Gadugi" w:hAnsi="Gadugi"/>
                <w:sz w:val="22"/>
              </w:rPr>
              <w:t>.5</w:t>
            </w:r>
            <w:r w:rsidR="007D2500" w:rsidRPr="00DB6208">
              <w:rPr>
                <w:rFonts w:ascii="Gadugi" w:hAnsi="Gadugi"/>
                <w:sz w:val="22"/>
              </w:rPr>
              <w:t xml:space="preserve">- </w:t>
            </w:r>
            <w:r w:rsidR="00DB6208" w:rsidRPr="00DB6208">
              <w:rPr>
                <w:rFonts w:ascii="Gadugi" w:hAnsi="Gadugi"/>
                <w:sz w:val="22"/>
              </w:rPr>
              <w:t>Inclusive Education policy (international)</w:t>
            </w:r>
          </w:p>
        </w:tc>
        <w:tc>
          <w:tcPr>
            <w:tcW w:w="7473" w:type="dxa"/>
          </w:tcPr>
          <w:p w14:paraId="003AC99E" w14:textId="71E45370" w:rsidR="00CC26EB" w:rsidRPr="004D24A7" w:rsidRDefault="00DB6208" w:rsidP="003E7068">
            <w:pPr>
              <w:jc w:val="both"/>
              <w:rPr>
                <w:rFonts w:ascii="Gadugi" w:hAnsi="Gadugi"/>
                <w:color w:val="4472C4" w:themeColor="accent1"/>
                <w:sz w:val="22"/>
              </w:rPr>
            </w:pPr>
            <w:r w:rsidRPr="00AA4E9F">
              <w:rPr>
                <w:rFonts w:ascii="Gadugi" w:hAnsi="Gadugi"/>
                <w:sz w:val="22"/>
              </w:rPr>
              <w:t>This activity continues from 10.4 and asks participants to look at the Convention on the Rights of Persons with Disabilities (2011 and 2016)</w:t>
            </w:r>
            <w:r w:rsidR="002F2C4E">
              <w:rPr>
                <w:rFonts w:ascii="Gadugi" w:hAnsi="Gadugi"/>
                <w:sz w:val="22"/>
              </w:rPr>
              <w:t xml:space="preserve"> and the Convention on the Rights of the Child (</w:t>
            </w:r>
            <w:r w:rsidR="00630206">
              <w:rPr>
                <w:rFonts w:ascii="Gadugi" w:hAnsi="Gadugi"/>
                <w:sz w:val="22"/>
              </w:rPr>
              <w:t>1990</w:t>
            </w:r>
            <w:r w:rsidR="002F2C4E">
              <w:rPr>
                <w:rFonts w:ascii="Gadugi" w:hAnsi="Gadugi"/>
                <w:sz w:val="22"/>
              </w:rPr>
              <w:t>)</w:t>
            </w:r>
            <w:r w:rsidRPr="00AA4E9F">
              <w:rPr>
                <w:rFonts w:ascii="Gadugi" w:hAnsi="Gadugi"/>
                <w:sz w:val="22"/>
              </w:rPr>
              <w:t xml:space="preserve">.  Again, </w:t>
            </w:r>
            <w:r w:rsidR="00630206">
              <w:rPr>
                <w:rFonts w:ascii="Gadugi" w:hAnsi="Gadugi"/>
                <w:sz w:val="22"/>
              </w:rPr>
              <w:t>participants</w:t>
            </w:r>
            <w:r w:rsidRPr="00AA4E9F">
              <w:rPr>
                <w:rFonts w:ascii="Gadugi" w:hAnsi="Gadugi"/>
                <w:sz w:val="22"/>
              </w:rPr>
              <w:t xml:space="preserve"> are asked to visit the online documents. </w:t>
            </w:r>
            <w:r w:rsidR="00505A05" w:rsidRPr="00505A05">
              <w:rPr>
                <w:rFonts w:ascii="Gadugi" w:hAnsi="Gadugi"/>
                <w:sz w:val="22"/>
              </w:rPr>
              <w:t xml:space="preserve">If possible, link pairs of students </w:t>
            </w:r>
            <w:r w:rsidR="0025377D">
              <w:rPr>
                <w:rFonts w:ascii="Gadugi" w:hAnsi="Gadugi"/>
                <w:sz w:val="22"/>
              </w:rPr>
              <w:t>to read these together and discuss them</w:t>
            </w:r>
            <w:r w:rsidR="00505A05" w:rsidRPr="00505A05">
              <w:rPr>
                <w:rFonts w:ascii="Gadugi" w:hAnsi="Gadugi"/>
                <w:sz w:val="22"/>
              </w:rPr>
              <w:t>.</w:t>
            </w:r>
            <w:r w:rsidR="0025377D">
              <w:rPr>
                <w:rFonts w:ascii="Gadugi" w:hAnsi="Gadugi"/>
                <w:sz w:val="22"/>
              </w:rPr>
              <w:t xml:space="preserve"> </w:t>
            </w:r>
            <w:r w:rsidRPr="00AA4E9F">
              <w:rPr>
                <w:rFonts w:ascii="Gadugi" w:hAnsi="Gadugi"/>
                <w:sz w:val="22"/>
              </w:rPr>
              <w:t xml:space="preserve">Important extracts of the online documents are also given for those who find it difficult to access the online </w:t>
            </w:r>
            <w:r w:rsidRPr="00AA4E9F">
              <w:rPr>
                <w:rFonts w:ascii="Gadugi" w:hAnsi="Gadugi"/>
                <w:sz w:val="22"/>
              </w:rPr>
              <w:lastRenderedPageBreak/>
              <w:t xml:space="preserve">version. </w:t>
            </w:r>
            <w:r w:rsidR="00AA4E9F" w:rsidRPr="00AA4E9F">
              <w:rPr>
                <w:rFonts w:ascii="Gadugi" w:hAnsi="Gadugi"/>
                <w:sz w:val="22"/>
              </w:rPr>
              <w:t xml:space="preserve">Participants are asked to highlight any key phrases or points from the documents. </w:t>
            </w:r>
            <w:r w:rsidRPr="00AA4E9F">
              <w:rPr>
                <w:rFonts w:ascii="Gadugi" w:hAnsi="Gadugi"/>
                <w:sz w:val="22"/>
              </w:rPr>
              <w:t xml:space="preserve">They could also write in their </w:t>
            </w:r>
            <w:r w:rsidR="00AA4E9F" w:rsidRPr="00AA4E9F">
              <w:rPr>
                <w:rFonts w:ascii="Gadugi" w:hAnsi="Gadugi"/>
                <w:sz w:val="22"/>
              </w:rPr>
              <w:t>learning journal.</w:t>
            </w:r>
          </w:p>
        </w:tc>
      </w:tr>
      <w:tr w:rsidR="004D24A7" w:rsidRPr="004D24A7" w14:paraId="50360655" w14:textId="77777777" w:rsidTr="00972474">
        <w:tc>
          <w:tcPr>
            <w:tcW w:w="2263" w:type="dxa"/>
          </w:tcPr>
          <w:p w14:paraId="6B415E53" w14:textId="3B8F2274" w:rsidR="00CC26EB" w:rsidRPr="00AA4E9F" w:rsidRDefault="00863A6B" w:rsidP="003E7068">
            <w:pPr>
              <w:rPr>
                <w:rFonts w:ascii="Gadugi" w:hAnsi="Gadugi"/>
                <w:sz w:val="22"/>
                <w:lang w:val="en-US" w:eastAsia="en-GB" w:bidi="ar-SA"/>
              </w:rPr>
            </w:pPr>
            <w:r w:rsidRPr="00AA4E9F">
              <w:rPr>
                <w:rFonts w:ascii="Gadugi" w:hAnsi="Gadugi"/>
                <w:sz w:val="22"/>
                <w:lang w:val="en-US" w:eastAsia="en-GB" w:bidi="ar-SA"/>
              </w:rPr>
              <w:lastRenderedPageBreak/>
              <w:t xml:space="preserve">Activity </w:t>
            </w:r>
            <w:r w:rsidR="00AA4E9F" w:rsidRPr="00AA4E9F">
              <w:rPr>
                <w:rFonts w:ascii="Gadugi" w:hAnsi="Gadugi"/>
                <w:sz w:val="22"/>
                <w:lang w:val="en-US" w:eastAsia="en-GB" w:bidi="ar-SA"/>
              </w:rPr>
              <w:t>10</w:t>
            </w:r>
            <w:r w:rsidR="003E7068" w:rsidRPr="00AA4E9F">
              <w:rPr>
                <w:rFonts w:ascii="Gadugi" w:hAnsi="Gadugi"/>
                <w:sz w:val="22"/>
                <w:lang w:val="en-US" w:eastAsia="en-GB" w:bidi="ar-SA"/>
              </w:rPr>
              <w:t>.</w:t>
            </w:r>
            <w:r w:rsidR="00F8490D" w:rsidRPr="00AA4E9F">
              <w:rPr>
                <w:rFonts w:ascii="Gadugi" w:hAnsi="Gadugi"/>
                <w:sz w:val="22"/>
                <w:lang w:val="en-US" w:eastAsia="en-GB" w:bidi="ar-SA"/>
              </w:rPr>
              <w:t>6</w:t>
            </w:r>
            <w:r w:rsidR="003B1141" w:rsidRPr="00AA4E9F">
              <w:rPr>
                <w:rFonts w:ascii="Gadugi" w:hAnsi="Gadugi"/>
                <w:sz w:val="22"/>
                <w:lang w:val="en-US" w:eastAsia="en-GB" w:bidi="ar-SA"/>
              </w:rPr>
              <w:t xml:space="preserve"> </w:t>
            </w:r>
            <w:r w:rsidR="007206C1">
              <w:rPr>
                <w:rFonts w:ascii="Gadugi" w:hAnsi="Gadugi"/>
                <w:sz w:val="22"/>
                <w:lang w:val="en-US" w:eastAsia="en-GB" w:bidi="ar-SA"/>
              </w:rPr>
              <w:t>&amp; 10.7</w:t>
            </w:r>
            <w:r w:rsidR="007D2500" w:rsidRPr="00AA4E9F">
              <w:rPr>
                <w:rFonts w:ascii="Gadugi" w:hAnsi="Gadugi"/>
                <w:sz w:val="22"/>
                <w:lang w:val="en-US" w:eastAsia="en-GB" w:bidi="ar-SA"/>
              </w:rPr>
              <w:t xml:space="preserve"> </w:t>
            </w:r>
            <w:r w:rsidR="00AA4E9F" w:rsidRPr="00AA4E9F">
              <w:rPr>
                <w:rFonts w:ascii="Gadugi" w:hAnsi="Gadugi"/>
                <w:sz w:val="22"/>
                <w:lang w:val="en-US" w:eastAsia="en-GB" w:bidi="ar-SA"/>
              </w:rPr>
              <w:t>Myanmar national laws and policy for Inclusive Education</w:t>
            </w:r>
          </w:p>
        </w:tc>
        <w:tc>
          <w:tcPr>
            <w:tcW w:w="7473" w:type="dxa"/>
          </w:tcPr>
          <w:p w14:paraId="45CC7875" w14:textId="7DB81F5E" w:rsidR="00CC26EB" w:rsidRPr="00505A05" w:rsidRDefault="00F8490D" w:rsidP="003E7068">
            <w:pPr>
              <w:rPr>
                <w:rFonts w:ascii="Gadugi" w:hAnsi="Gadugi"/>
                <w:sz w:val="22"/>
              </w:rPr>
            </w:pPr>
            <w:r w:rsidRPr="00505A05">
              <w:rPr>
                <w:rFonts w:ascii="Gadugi" w:hAnsi="Gadugi"/>
                <w:sz w:val="22"/>
              </w:rPr>
              <w:t>This a</w:t>
            </w:r>
            <w:r w:rsidR="003E7068" w:rsidRPr="00505A05">
              <w:rPr>
                <w:rFonts w:ascii="Gadugi" w:hAnsi="Gadugi"/>
                <w:sz w:val="22"/>
              </w:rPr>
              <w:t xml:space="preserve">ctivity </w:t>
            </w:r>
            <w:r w:rsidR="00AA4E9F" w:rsidRPr="00505A05">
              <w:rPr>
                <w:rFonts w:ascii="Gadugi" w:hAnsi="Gadugi"/>
                <w:sz w:val="22"/>
              </w:rPr>
              <w:t xml:space="preserve">highlights the laws and policy documents for Myanmar. Participants are encouraged to view the documents online and begin to think about how these laws and </w:t>
            </w:r>
            <w:r w:rsidR="00505A05" w:rsidRPr="00505A05">
              <w:rPr>
                <w:rFonts w:ascii="Gadugi" w:hAnsi="Gadugi"/>
                <w:sz w:val="22"/>
              </w:rPr>
              <w:t xml:space="preserve">the </w:t>
            </w:r>
            <w:r w:rsidR="00AA4E9F" w:rsidRPr="00505A05">
              <w:rPr>
                <w:rFonts w:ascii="Gadugi" w:hAnsi="Gadugi"/>
                <w:sz w:val="22"/>
              </w:rPr>
              <w:t>policy link to their work as an educator. The answer/discussion</w:t>
            </w:r>
            <w:r w:rsidR="00505A05" w:rsidRPr="00505A05">
              <w:rPr>
                <w:rFonts w:ascii="Gadugi" w:hAnsi="Gadugi"/>
                <w:sz w:val="22"/>
              </w:rPr>
              <w:t xml:space="preserve"> for 10.6</w:t>
            </w:r>
            <w:r w:rsidR="00AA4E9F" w:rsidRPr="00505A05">
              <w:rPr>
                <w:rFonts w:ascii="Gadugi" w:hAnsi="Gadugi"/>
                <w:sz w:val="22"/>
              </w:rPr>
              <w:t xml:space="preserve"> provides </w:t>
            </w:r>
            <w:r w:rsidR="00505A05" w:rsidRPr="00505A05">
              <w:rPr>
                <w:rFonts w:ascii="Gadugi" w:hAnsi="Gadugi"/>
                <w:sz w:val="22"/>
              </w:rPr>
              <w:t>extracts from each document with key words/phrases highlighted for those who find it difficult to access them online</w:t>
            </w:r>
            <w:r w:rsidR="00505A05">
              <w:rPr>
                <w:rFonts w:ascii="Gadugi" w:hAnsi="Gadugi"/>
                <w:sz w:val="22"/>
              </w:rPr>
              <w:t xml:space="preserve">. </w:t>
            </w:r>
            <w:r w:rsidR="00505A05" w:rsidRPr="00505A05">
              <w:rPr>
                <w:rFonts w:ascii="Gadugi" w:hAnsi="Gadugi"/>
                <w:sz w:val="22"/>
              </w:rPr>
              <w:t>If possible, link pairs of students in relation to access to the internet.</w:t>
            </w:r>
          </w:p>
        </w:tc>
      </w:tr>
      <w:tr w:rsidR="004D24A7" w:rsidRPr="004D24A7" w14:paraId="1909FFC4" w14:textId="77777777" w:rsidTr="00972474">
        <w:tc>
          <w:tcPr>
            <w:tcW w:w="2263" w:type="dxa"/>
          </w:tcPr>
          <w:p w14:paraId="5C42B970" w14:textId="3CB6CF06" w:rsidR="009B3289" w:rsidRPr="00E80F79" w:rsidRDefault="00863A6B" w:rsidP="003E7068">
            <w:pPr>
              <w:rPr>
                <w:rFonts w:ascii="Gadugi" w:hAnsi="Gadugi"/>
                <w:sz w:val="22"/>
              </w:rPr>
            </w:pPr>
            <w:bookmarkStart w:id="10" w:name="_Hlk75894151"/>
            <w:r w:rsidRPr="00E80F79">
              <w:rPr>
                <w:rFonts w:ascii="Gadugi" w:eastAsia="Times New Roman" w:hAnsi="Gadugi" w:cstheme="majorHAnsi"/>
                <w:sz w:val="22"/>
                <w:lang w:bidi="ar-SA"/>
              </w:rPr>
              <w:t xml:space="preserve">Activity </w:t>
            </w:r>
            <w:r w:rsidR="00505A05" w:rsidRPr="00E80F79">
              <w:rPr>
                <w:rFonts w:ascii="Gadugi" w:eastAsia="Times New Roman" w:hAnsi="Gadugi" w:cstheme="majorHAnsi"/>
                <w:sz w:val="22"/>
                <w:lang w:bidi="ar-SA"/>
              </w:rPr>
              <w:t>10</w:t>
            </w:r>
            <w:r w:rsidR="003E7068" w:rsidRPr="00E80F79">
              <w:rPr>
                <w:rFonts w:ascii="Gadugi" w:eastAsia="Times New Roman" w:hAnsi="Gadugi" w:cstheme="majorHAnsi"/>
                <w:sz w:val="22"/>
                <w:lang w:bidi="ar-SA"/>
              </w:rPr>
              <w:t>.</w:t>
            </w:r>
            <w:r w:rsidR="007206C1">
              <w:rPr>
                <w:rFonts w:ascii="Gadugi" w:eastAsia="Times New Roman" w:hAnsi="Gadugi" w:cstheme="majorHAnsi"/>
                <w:sz w:val="22"/>
                <w:lang w:bidi="ar-SA"/>
              </w:rPr>
              <w:t>8</w:t>
            </w:r>
            <w:r w:rsidR="00505A05" w:rsidRPr="00E80F79">
              <w:rPr>
                <w:rFonts w:ascii="Gadugi" w:hAnsi="Gadugi"/>
                <w:sz w:val="22"/>
              </w:rPr>
              <w:t xml:space="preserve"> </w:t>
            </w:r>
          </w:p>
          <w:p w14:paraId="439DBEF3" w14:textId="4CC5D329" w:rsidR="00CC26EB" w:rsidRPr="004D24A7" w:rsidRDefault="00505A05" w:rsidP="003E7068">
            <w:pPr>
              <w:rPr>
                <w:rFonts w:ascii="Gadugi" w:hAnsi="Gadugi"/>
                <w:color w:val="4472C4" w:themeColor="accent1"/>
                <w:sz w:val="22"/>
                <w:lang w:val="en-US" w:eastAsia="en-GB" w:bidi="ar-SA"/>
              </w:rPr>
            </w:pPr>
            <w:r w:rsidRPr="00E80F79">
              <w:rPr>
                <w:rFonts w:ascii="Gadugi" w:hAnsi="Gadugi"/>
                <w:sz w:val="22"/>
              </w:rPr>
              <w:t>A recap - I</w:t>
            </w:r>
            <w:r w:rsidRPr="00E80F79">
              <w:rPr>
                <w:rFonts w:ascii="Gadugi" w:eastAsia="Times New Roman" w:hAnsi="Gadugi" w:cstheme="majorHAnsi"/>
                <w:sz w:val="22"/>
                <w:lang w:bidi="ar-SA"/>
              </w:rPr>
              <w:t>mportance of Inclusive Education</w:t>
            </w:r>
            <w:r w:rsidR="003E7068" w:rsidRPr="00E80F79">
              <w:rPr>
                <w:rFonts w:ascii="Gadugi" w:eastAsia="Times New Roman" w:hAnsi="Gadugi" w:cstheme="majorHAnsi"/>
                <w:sz w:val="22"/>
                <w:lang w:bidi="ar-SA"/>
              </w:rPr>
              <w:t xml:space="preserve"> </w:t>
            </w:r>
            <w:bookmarkEnd w:id="10"/>
          </w:p>
        </w:tc>
        <w:tc>
          <w:tcPr>
            <w:tcW w:w="7473" w:type="dxa"/>
          </w:tcPr>
          <w:p w14:paraId="15B3427A" w14:textId="3EECD31E" w:rsidR="00CC26EB" w:rsidRPr="004D24A7" w:rsidRDefault="007011E4" w:rsidP="009D23B3">
            <w:pPr>
              <w:rPr>
                <w:rFonts w:ascii="Gadugi" w:hAnsi="Gadugi"/>
                <w:color w:val="4472C4" w:themeColor="accent1"/>
                <w:sz w:val="22"/>
              </w:rPr>
            </w:pPr>
            <w:r w:rsidRPr="003526EC">
              <w:rPr>
                <w:rFonts w:ascii="Gadugi" w:hAnsi="Gadugi"/>
                <w:sz w:val="22"/>
              </w:rPr>
              <w:t xml:space="preserve">A video link is provided </w:t>
            </w:r>
            <w:r w:rsidR="00B30E4E" w:rsidRPr="003526EC">
              <w:rPr>
                <w:rFonts w:ascii="Gadugi" w:hAnsi="Gadugi"/>
                <w:sz w:val="22"/>
              </w:rPr>
              <w:t xml:space="preserve">for participants to </w:t>
            </w:r>
            <w:r w:rsidR="003526EC" w:rsidRPr="003526EC">
              <w:rPr>
                <w:rFonts w:ascii="Gadugi" w:hAnsi="Gadugi"/>
                <w:sz w:val="22"/>
              </w:rPr>
              <w:t xml:space="preserve">watch and </w:t>
            </w:r>
            <w:r w:rsidR="00505A05" w:rsidRPr="003526EC">
              <w:rPr>
                <w:rFonts w:ascii="Gadugi" w:hAnsi="Gadugi"/>
                <w:sz w:val="22"/>
              </w:rPr>
              <w:t xml:space="preserve">revisit </w:t>
            </w:r>
            <w:r w:rsidR="003526EC" w:rsidRPr="003526EC">
              <w:rPr>
                <w:rFonts w:ascii="Gadugi" w:hAnsi="Gadugi"/>
                <w:sz w:val="22"/>
              </w:rPr>
              <w:t xml:space="preserve">a video from a previous module. It provides them time to consider how the laws, policies and practices influences their work in the classroom. They are encouraged to reflect again on </w:t>
            </w:r>
            <w:r w:rsidR="003526EC">
              <w:rPr>
                <w:rFonts w:ascii="Gadugi" w:hAnsi="Gadugi"/>
                <w:sz w:val="22"/>
              </w:rPr>
              <w:t xml:space="preserve">at least three </w:t>
            </w:r>
            <w:r w:rsidR="003526EC" w:rsidRPr="003526EC">
              <w:rPr>
                <w:rFonts w:ascii="Gadugi" w:hAnsi="Gadugi"/>
                <w:sz w:val="22"/>
              </w:rPr>
              <w:t>reasons why Inclusive Education is important for Myanmar.</w:t>
            </w:r>
          </w:p>
        </w:tc>
      </w:tr>
      <w:tr w:rsidR="004D24A7" w:rsidRPr="004D24A7" w14:paraId="44542C84" w14:textId="77777777" w:rsidTr="00972474">
        <w:tc>
          <w:tcPr>
            <w:tcW w:w="2263" w:type="dxa"/>
          </w:tcPr>
          <w:p w14:paraId="0B080BB8" w14:textId="005B6795" w:rsidR="00662189" w:rsidRPr="004D24A7" w:rsidRDefault="00916B67" w:rsidP="00EC637C">
            <w:pPr>
              <w:rPr>
                <w:rFonts w:ascii="Gadugi" w:hAnsi="Gadugi"/>
                <w:color w:val="4472C4" w:themeColor="accent1"/>
                <w:sz w:val="22"/>
                <w:lang w:val="en-US" w:eastAsia="en-GB" w:bidi="ar-SA"/>
              </w:rPr>
            </w:pPr>
            <w:r w:rsidRPr="002A26D8">
              <w:rPr>
                <w:rFonts w:ascii="Gadugi" w:hAnsi="Gadugi"/>
                <w:sz w:val="22"/>
                <w:lang w:val="en-US" w:eastAsia="en-GB" w:bidi="ar-SA"/>
              </w:rPr>
              <w:t xml:space="preserve">Activity </w:t>
            </w:r>
            <w:r w:rsidR="003526EC" w:rsidRPr="002A26D8">
              <w:rPr>
                <w:rFonts w:ascii="Gadugi" w:hAnsi="Gadugi"/>
                <w:sz w:val="22"/>
                <w:lang w:val="en-US" w:eastAsia="en-GB" w:bidi="ar-SA"/>
              </w:rPr>
              <w:t>10</w:t>
            </w:r>
            <w:r w:rsidR="00EC637C" w:rsidRPr="002A26D8">
              <w:rPr>
                <w:rFonts w:ascii="Gadugi" w:hAnsi="Gadugi"/>
                <w:sz w:val="22"/>
                <w:lang w:val="en-US" w:eastAsia="en-GB" w:bidi="ar-SA"/>
              </w:rPr>
              <w:t>.</w:t>
            </w:r>
            <w:r w:rsidR="007206C1">
              <w:rPr>
                <w:rFonts w:ascii="Gadugi" w:hAnsi="Gadugi"/>
                <w:sz w:val="22"/>
                <w:lang w:val="en-US" w:eastAsia="en-GB" w:bidi="ar-SA"/>
              </w:rPr>
              <w:t>9</w:t>
            </w:r>
            <w:r w:rsidR="00EC637C" w:rsidRPr="002A26D8">
              <w:rPr>
                <w:rFonts w:ascii="Gadugi" w:hAnsi="Gadugi"/>
                <w:sz w:val="22"/>
                <w:lang w:val="en-US" w:eastAsia="en-GB" w:bidi="ar-SA"/>
              </w:rPr>
              <w:t xml:space="preserve"> </w:t>
            </w:r>
            <w:r w:rsidR="007D2500" w:rsidRPr="002A26D8">
              <w:rPr>
                <w:rFonts w:ascii="Gadugi" w:hAnsi="Gadugi"/>
                <w:sz w:val="22"/>
                <w:lang w:val="en-US" w:eastAsia="en-GB" w:bidi="ar-SA"/>
              </w:rPr>
              <w:t xml:space="preserve"> </w:t>
            </w:r>
            <w:r w:rsidR="002A26D8" w:rsidRPr="002A26D8">
              <w:rPr>
                <w:rFonts w:ascii="Gadugi" w:hAnsi="Gadugi"/>
                <w:sz w:val="22"/>
                <w:lang w:val="en-US" w:eastAsia="en-GB" w:bidi="ar-SA"/>
              </w:rPr>
              <w:t xml:space="preserve">Practice - </w:t>
            </w:r>
            <w:r w:rsidR="002A26D8" w:rsidRPr="002A26D8">
              <w:rPr>
                <w:rFonts w:ascii="Gadugi" w:hAnsi="Gadugi"/>
                <w:sz w:val="22"/>
                <w:lang w:eastAsia="en-GB"/>
              </w:rPr>
              <w:t>i</w:t>
            </w:r>
            <w:r w:rsidR="003526EC" w:rsidRPr="002A26D8">
              <w:rPr>
                <w:rFonts w:ascii="Gadugi" w:hAnsi="Gadugi" w:cstheme="majorHAnsi"/>
                <w:sz w:val="22"/>
              </w:rPr>
              <w:t xml:space="preserve">ntroducing </w:t>
            </w:r>
            <w:r w:rsidR="003526EC" w:rsidRPr="003526EC">
              <w:rPr>
                <w:rFonts w:ascii="Gadugi" w:hAnsi="Gadugi" w:cstheme="majorHAnsi"/>
                <w:sz w:val="22"/>
              </w:rPr>
              <w:t>policies and laws about Inclusion to student teachers.</w:t>
            </w:r>
          </w:p>
        </w:tc>
        <w:tc>
          <w:tcPr>
            <w:tcW w:w="7473" w:type="dxa"/>
          </w:tcPr>
          <w:p w14:paraId="4BC512DE" w14:textId="411B772A" w:rsidR="002A26D8" w:rsidRPr="000F1379" w:rsidRDefault="002A26D8" w:rsidP="002A26D8">
            <w:pPr>
              <w:rPr>
                <w:rFonts w:ascii="Gadugi" w:hAnsi="Gadugi"/>
                <w:sz w:val="22"/>
              </w:rPr>
            </w:pPr>
            <w:r w:rsidRPr="000F1379">
              <w:rPr>
                <w:rFonts w:ascii="Gadugi" w:hAnsi="Gadugi"/>
                <w:sz w:val="22"/>
              </w:rPr>
              <w:t>This activity links theory (laws and policies) to practice (teachers’ classroom practice) about Inclusion.</w:t>
            </w:r>
            <w:r w:rsidR="001E1FA0" w:rsidRPr="000F1379">
              <w:rPr>
                <w:rFonts w:ascii="Gadugi" w:hAnsi="Gadugi"/>
                <w:sz w:val="22"/>
              </w:rPr>
              <w:t xml:space="preserve"> </w:t>
            </w:r>
            <w:r w:rsidRPr="000F1379">
              <w:rPr>
                <w:rFonts w:ascii="Gadugi" w:hAnsi="Gadugi"/>
                <w:sz w:val="22"/>
              </w:rPr>
              <w:t>They have a choice, in groups, to either</w:t>
            </w:r>
            <w:r w:rsidR="001E1FA0" w:rsidRPr="000F1379">
              <w:rPr>
                <w:rFonts w:ascii="Gadugi" w:hAnsi="Gadugi"/>
                <w:sz w:val="22"/>
              </w:rPr>
              <w:t>.</w:t>
            </w:r>
          </w:p>
          <w:p w14:paraId="6271B812" w14:textId="77777777" w:rsidR="002A26D8" w:rsidRPr="000F1379" w:rsidRDefault="002A26D8" w:rsidP="002A26D8">
            <w:pPr>
              <w:rPr>
                <w:rFonts w:ascii="Gadugi" w:hAnsi="Gadugi"/>
                <w:sz w:val="22"/>
              </w:rPr>
            </w:pPr>
          </w:p>
          <w:p w14:paraId="49EF2947" w14:textId="3E52B404" w:rsidR="002A26D8" w:rsidRDefault="002A26D8" w:rsidP="00FD777A">
            <w:pPr>
              <w:pStyle w:val="ListParagraph"/>
              <w:numPr>
                <w:ilvl w:val="0"/>
                <w:numId w:val="6"/>
              </w:numPr>
              <w:rPr>
                <w:rFonts w:ascii="Gadugi" w:hAnsi="Gadugi"/>
                <w:sz w:val="22"/>
              </w:rPr>
            </w:pPr>
            <w:r w:rsidRPr="000F1379">
              <w:rPr>
                <w:rFonts w:ascii="Gadugi" w:hAnsi="Gadugi"/>
                <w:sz w:val="22"/>
              </w:rPr>
              <w:t xml:space="preserve">Create a poster that introduces the laws and policies (discussed in this module) to student teachers.  </w:t>
            </w:r>
          </w:p>
          <w:p w14:paraId="05D0D92B" w14:textId="72954D06" w:rsidR="000F0F18" w:rsidRDefault="000F0F18" w:rsidP="000F0F18">
            <w:pPr>
              <w:pStyle w:val="ListParagraph"/>
              <w:ind w:left="360"/>
              <w:rPr>
                <w:rFonts w:ascii="Gadugi" w:hAnsi="Gadugi"/>
                <w:sz w:val="22"/>
              </w:rPr>
            </w:pPr>
            <w:r>
              <w:rPr>
                <w:rFonts w:ascii="Gadugi" w:hAnsi="Gadugi"/>
                <w:sz w:val="22"/>
              </w:rPr>
              <w:t>OR</w:t>
            </w:r>
          </w:p>
          <w:p w14:paraId="7CA2720B" w14:textId="0B271390" w:rsidR="00D533B8" w:rsidRPr="000F0F18" w:rsidRDefault="000F0F18" w:rsidP="000F0F18">
            <w:pPr>
              <w:pStyle w:val="ListParagraph"/>
              <w:numPr>
                <w:ilvl w:val="0"/>
                <w:numId w:val="6"/>
              </w:numPr>
              <w:rPr>
                <w:rFonts w:ascii="Gadugi" w:hAnsi="Gadugi"/>
                <w:sz w:val="22"/>
              </w:rPr>
            </w:pPr>
            <w:r w:rsidRPr="000F0F18">
              <w:rPr>
                <w:rFonts w:ascii="Gadugi" w:hAnsi="Gadugi"/>
                <w:sz w:val="22"/>
              </w:rPr>
              <w:t>Draw a mind map showing why policies are often not enacted at school or classroom level due to challenges with the implementation process, teachers’ interpretation of policies, etc. An example of this could be the language of instruction policies.</w:t>
            </w:r>
          </w:p>
          <w:p w14:paraId="22B82480" w14:textId="55B74D5D" w:rsidR="002A26D8" w:rsidRPr="000F1379" w:rsidRDefault="002A26D8" w:rsidP="002A26D8">
            <w:pPr>
              <w:rPr>
                <w:rFonts w:ascii="Gadugi" w:hAnsi="Gadugi"/>
                <w:sz w:val="22"/>
              </w:rPr>
            </w:pPr>
            <w:r w:rsidRPr="000F1379">
              <w:rPr>
                <w:rFonts w:ascii="Gadugi" w:hAnsi="Gadugi"/>
                <w:sz w:val="22"/>
              </w:rPr>
              <w:t xml:space="preserve">OR </w:t>
            </w:r>
          </w:p>
          <w:p w14:paraId="47A20C73" w14:textId="707829A8" w:rsidR="002A26D8" w:rsidRPr="000F1379" w:rsidRDefault="002A26D8" w:rsidP="00017664">
            <w:pPr>
              <w:pStyle w:val="ListParagraph"/>
              <w:numPr>
                <w:ilvl w:val="0"/>
                <w:numId w:val="6"/>
              </w:numPr>
              <w:rPr>
                <w:rFonts w:ascii="Gadugi" w:hAnsi="Gadugi"/>
                <w:sz w:val="22"/>
              </w:rPr>
            </w:pPr>
            <w:r w:rsidRPr="000F1379">
              <w:rPr>
                <w:rFonts w:ascii="Gadugi" w:hAnsi="Gadugi"/>
                <w:sz w:val="22"/>
              </w:rPr>
              <w:t xml:space="preserve">Relate policies and laws to the Teacher Competency Standards Framework (TCSF). How you do this is your choice. </w:t>
            </w:r>
          </w:p>
          <w:p w14:paraId="4CE31887" w14:textId="2131E010" w:rsidR="002A26D8" w:rsidRPr="000F1379" w:rsidRDefault="002A26D8" w:rsidP="002A26D8">
            <w:pPr>
              <w:rPr>
                <w:rFonts w:ascii="Gadugi" w:hAnsi="Gadugi"/>
                <w:sz w:val="22"/>
              </w:rPr>
            </w:pPr>
          </w:p>
          <w:p w14:paraId="4EB657D4" w14:textId="5383B678" w:rsidR="000315A6" w:rsidRPr="004D24A7" w:rsidRDefault="001E1FA0" w:rsidP="002A26D8">
            <w:pPr>
              <w:rPr>
                <w:rFonts w:ascii="Gadugi" w:hAnsi="Gadugi"/>
                <w:color w:val="4472C4" w:themeColor="accent1"/>
                <w:sz w:val="22"/>
              </w:rPr>
            </w:pPr>
            <w:r w:rsidRPr="000F1379">
              <w:rPr>
                <w:rFonts w:ascii="Gadugi" w:hAnsi="Gadugi"/>
                <w:sz w:val="22"/>
              </w:rPr>
              <w:t xml:space="preserve">Emphasis the difficulty of teaching about policies and laws to students because of the difficulty in subject matter. </w:t>
            </w:r>
            <w:r w:rsidR="002A26D8" w:rsidRPr="000F1379">
              <w:rPr>
                <w:rFonts w:ascii="Gadugi" w:hAnsi="Gadugi"/>
                <w:sz w:val="22"/>
              </w:rPr>
              <w:t xml:space="preserve">They need to make it simple, clear and engaging for different types of learners (multisensory). They need to think about the different needs of students they find in a class (inclusion). Encourage them to plan how they might do this (they could produce a mind map or list etc. of their ideas). </w:t>
            </w:r>
            <w:r w:rsidRPr="000F1379">
              <w:rPr>
                <w:rFonts w:ascii="Gadugi" w:hAnsi="Gadugi"/>
                <w:sz w:val="22"/>
              </w:rPr>
              <w:t xml:space="preserve">The </w:t>
            </w:r>
            <w:r w:rsidR="00EC31BE">
              <w:rPr>
                <w:rFonts w:ascii="Gadugi" w:hAnsi="Gadugi"/>
                <w:sz w:val="22"/>
              </w:rPr>
              <w:t>thir</w:t>
            </w:r>
            <w:r w:rsidRPr="000F1379">
              <w:rPr>
                <w:rFonts w:ascii="Gadugi" w:hAnsi="Gadugi"/>
                <w:sz w:val="22"/>
              </w:rPr>
              <w:t>d activity (if they choose) is designed to stretch the participants.</w:t>
            </w:r>
          </w:p>
        </w:tc>
      </w:tr>
      <w:tr w:rsidR="004D24A7" w:rsidRPr="004D24A7" w14:paraId="1309B1AD" w14:textId="77777777" w:rsidTr="00972474">
        <w:tc>
          <w:tcPr>
            <w:tcW w:w="2263" w:type="dxa"/>
          </w:tcPr>
          <w:p w14:paraId="7FA64A86" w14:textId="54A9D37A" w:rsidR="002361A9" w:rsidRPr="004D24A7" w:rsidRDefault="00916B67" w:rsidP="00057B1F">
            <w:pPr>
              <w:rPr>
                <w:rFonts w:ascii="Gadugi" w:hAnsi="Gadugi"/>
                <w:color w:val="4472C4" w:themeColor="accent1"/>
                <w:sz w:val="22"/>
                <w:lang w:eastAsia="en-GB" w:bidi="ar-SA"/>
              </w:rPr>
            </w:pPr>
            <w:r w:rsidRPr="000F1379">
              <w:rPr>
                <w:rFonts w:ascii="Gadugi" w:hAnsi="Gadugi"/>
                <w:sz w:val="22"/>
                <w:lang w:eastAsia="en-GB" w:bidi="ar-SA"/>
              </w:rPr>
              <w:t xml:space="preserve">Activity </w:t>
            </w:r>
            <w:r w:rsidR="001E1FA0" w:rsidRPr="000F1379">
              <w:rPr>
                <w:rFonts w:ascii="Gadugi" w:hAnsi="Gadugi"/>
                <w:sz w:val="22"/>
                <w:lang w:eastAsia="en-GB" w:bidi="ar-SA"/>
              </w:rPr>
              <w:t>10</w:t>
            </w:r>
            <w:r w:rsidR="00057B1F" w:rsidRPr="000F1379">
              <w:rPr>
                <w:rFonts w:ascii="Gadugi" w:hAnsi="Gadugi"/>
                <w:sz w:val="22"/>
                <w:lang w:eastAsia="en-GB" w:bidi="ar-SA"/>
              </w:rPr>
              <w:t>.</w:t>
            </w:r>
            <w:r w:rsidR="00EC31BE">
              <w:rPr>
                <w:rFonts w:ascii="Gadugi" w:hAnsi="Gadugi"/>
                <w:sz w:val="22"/>
                <w:lang w:eastAsia="en-GB" w:bidi="ar-SA"/>
              </w:rPr>
              <w:t>10</w:t>
            </w:r>
            <w:r w:rsidR="007D2500" w:rsidRPr="000F1379">
              <w:rPr>
                <w:rFonts w:ascii="Gadugi" w:hAnsi="Gadugi"/>
                <w:sz w:val="22"/>
                <w:lang w:eastAsia="en-GB" w:bidi="ar-SA"/>
              </w:rPr>
              <w:t xml:space="preserve"> </w:t>
            </w:r>
            <w:r w:rsidR="000F1379" w:rsidRPr="000F1379">
              <w:rPr>
                <w:rFonts w:ascii="Gadugi" w:eastAsia="Times New Roman" w:hAnsi="Gadugi" w:cstheme="majorHAnsi"/>
                <w:sz w:val="22"/>
                <w:lang w:bidi="ar-SA"/>
              </w:rPr>
              <w:t>Reflection</w:t>
            </w:r>
          </w:p>
        </w:tc>
        <w:tc>
          <w:tcPr>
            <w:tcW w:w="7473" w:type="dxa"/>
          </w:tcPr>
          <w:p w14:paraId="2985F4B6" w14:textId="7DB7EFBB" w:rsidR="002361A9" w:rsidRPr="003C5927" w:rsidRDefault="00057B1F" w:rsidP="009D23B3">
            <w:pPr>
              <w:rPr>
                <w:rFonts w:ascii="Gadugi" w:hAnsi="Gadugi"/>
                <w:sz w:val="22"/>
              </w:rPr>
            </w:pPr>
            <w:r w:rsidRPr="003C5927">
              <w:rPr>
                <w:rFonts w:ascii="Gadugi" w:hAnsi="Gadugi"/>
                <w:sz w:val="22"/>
              </w:rPr>
              <w:t>P</w:t>
            </w:r>
            <w:r w:rsidR="00411440" w:rsidRPr="003C5927">
              <w:rPr>
                <w:rFonts w:ascii="Gadugi" w:hAnsi="Gadugi"/>
                <w:sz w:val="22"/>
              </w:rPr>
              <w:t>articipants</w:t>
            </w:r>
            <w:r w:rsidRPr="003C5927">
              <w:rPr>
                <w:rFonts w:ascii="Gadugi" w:hAnsi="Gadugi"/>
                <w:sz w:val="22"/>
              </w:rPr>
              <w:t xml:space="preserve"> </w:t>
            </w:r>
            <w:r w:rsidR="00716940" w:rsidRPr="003C5927">
              <w:rPr>
                <w:rFonts w:ascii="Gadugi" w:hAnsi="Gadugi"/>
                <w:sz w:val="22"/>
              </w:rPr>
              <w:t xml:space="preserve">are </w:t>
            </w:r>
            <w:r w:rsidR="000F1379" w:rsidRPr="003C5927">
              <w:rPr>
                <w:rFonts w:ascii="Gadugi" w:hAnsi="Gadugi"/>
                <w:sz w:val="22"/>
              </w:rPr>
              <w:t xml:space="preserve">encouraged to reflect on a few questions related to policies and law and how these can be shared with their </w:t>
            </w:r>
            <w:r w:rsidR="003C5927" w:rsidRPr="003C5927">
              <w:rPr>
                <w:rFonts w:ascii="Gadugi" w:hAnsi="Gadugi"/>
                <w:sz w:val="22"/>
              </w:rPr>
              <w:t>learners</w:t>
            </w:r>
          </w:p>
        </w:tc>
      </w:tr>
      <w:tr w:rsidR="004D24A7" w:rsidRPr="004D24A7" w14:paraId="1C41A5F1" w14:textId="77777777" w:rsidTr="00972474">
        <w:tc>
          <w:tcPr>
            <w:tcW w:w="2263" w:type="dxa"/>
          </w:tcPr>
          <w:p w14:paraId="2861C34C" w14:textId="1222DA8C" w:rsidR="003C5927" w:rsidRDefault="00916B67" w:rsidP="00057B1F">
            <w:pPr>
              <w:rPr>
                <w:rFonts w:ascii="Gadugi" w:hAnsi="Gadugi"/>
                <w:sz w:val="22"/>
                <w:lang w:val="en-US" w:eastAsia="en-GB" w:bidi="ar-SA"/>
              </w:rPr>
            </w:pPr>
            <w:r w:rsidRPr="003C5927">
              <w:rPr>
                <w:rFonts w:ascii="Gadugi" w:hAnsi="Gadugi"/>
                <w:sz w:val="22"/>
                <w:lang w:val="en-US" w:eastAsia="en-GB" w:bidi="ar-SA"/>
              </w:rPr>
              <w:t xml:space="preserve">Activity </w:t>
            </w:r>
            <w:r w:rsidR="003C5927" w:rsidRPr="003C5927">
              <w:rPr>
                <w:rFonts w:ascii="Gadugi" w:hAnsi="Gadugi"/>
                <w:sz w:val="22"/>
                <w:lang w:val="en-US" w:eastAsia="en-GB" w:bidi="ar-SA"/>
              </w:rPr>
              <w:t>10</w:t>
            </w:r>
            <w:r w:rsidR="00057B1F" w:rsidRPr="003C5927">
              <w:rPr>
                <w:rFonts w:ascii="Gadugi" w:hAnsi="Gadugi"/>
                <w:sz w:val="22"/>
                <w:lang w:val="en-US" w:eastAsia="en-GB" w:bidi="ar-SA"/>
              </w:rPr>
              <w:t>.1</w:t>
            </w:r>
            <w:r w:rsidR="00EC31BE">
              <w:rPr>
                <w:rFonts w:ascii="Gadugi" w:hAnsi="Gadugi"/>
                <w:sz w:val="22"/>
                <w:lang w:val="en-US" w:eastAsia="en-GB" w:bidi="ar-SA"/>
              </w:rPr>
              <w:t>1</w:t>
            </w:r>
            <w:r w:rsidR="00057B1F" w:rsidRPr="003C5927">
              <w:rPr>
                <w:rFonts w:ascii="Gadugi" w:hAnsi="Gadugi"/>
                <w:sz w:val="22"/>
                <w:lang w:val="en-US" w:eastAsia="en-GB" w:bidi="ar-SA"/>
              </w:rPr>
              <w:t xml:space="preserve"> </w:t>
            </w:r>
            <w:r w:rsidR="007D2500" w:rsidRPr="003C5927">
              <w:rPr>
                <w:rFonts w:ascii="Gadugi" w:hAnsi="Gadugi"/>
                <w:sz w:val="22"/>
                <w:lang w:val="en-US" w:eastAsia="en-GB" w:bidi="ar-SA"/>
              </w:rPr>
              <w:t xml:space="preserve"> </w:t>
            </w:r>
          </w:p>
          <w:p w14:paraId="2A58C386" w14:textId="3CA53151" w:rsidR="00CF4507" w:rsidRPr="004D24A7" w:rsidRDefault="003C5927" w:rsidP="00057B1F">
            <w:pPr>
              <w:rPr>
                <w:rFonts w:ascii="Gadugi" w:hAnsi="Gadugi"/>
                <w:color w:val="4472C4" w:themeColor="accent1"/>
                <w:sz w:val="22"/>
                <w:lang w:val="en-US" w:eastAsia="en-GB" w:bidi="ar-SA"/>
              </w:rPr>
            </w:pPr>
            <w:r w:rsidRPr="003C5927">
              <w:rPr>
                <w:rFonts w:ascii="Gadugi" w:hAnsi="Gadugi" w:cstheme="majorHAnsi"/>
                <w:sz w:val="22"/>
                <w:lang w:eastAsia="en-GB" w:bidi="ar-SA"/>
              </w:rPr>
              <w:t>Self-assessment</w:t>
            </w:r>
          </w:p>
        </w:tc>
        <w:tc>
          <w:tcPr>
            <w:tcW w:w="7473" w:type="dxa"/>
          </w:tcPr>
          <w:p w14:paraId="2A51B962" w14:textId="6396C0B3" w:rsidR="00CF4507" w:rsidRPr="003C5927" w:rsidRDefault="003C5927" w:rsidP="009D23B3">
            <w:pPr>
              <w:rPr>
                <w:rFonts w:ascii="Gadugi" w:hAnsi="Gadugi"/>
                <w:sz w:val="22"/>
              </w:rPr>
            </w:pPr>
            <w:r w:rsidRPr="003C5927">
              <w:rPr>
                <w:rFonts w:ascii="Gadugi" w:hAnsi="Gadugi"/>
                <w:sz w:val="22"/>
              </w:rPr>
              <w:t>The self-assessment duplicates the first self-assessment. Ask participants to reflect on their confidence and discuss comparisons between scores.</w:t>
            </w:r>
          </w:p>
        </w:tc>
      </w:tr>
      <w:tr w:rsidR="004D24A7" w:rsidRPr="004D24A7" w14:paraId="3DE7199A" w14:textId="77777777" w:rsidTr="00972474">
        <w:tc>
          <w:tcPr>
            <w:tcW w:w="2263" w:type="dxa"/>
          </w:tcPr>
          <w:p w14:paraId="25D58F52" w14:textId="485E53E0" w:rsidR="00B7482C" w:rsidRPr="00377BCC" w:rsidRDefault="00B7482C" w:rsidP="00B7482C">
            <w:pPr>
              <w:rPr>
                <w:rFonts w:ascii="Gadugi" w:hAnsi="Gadugi"/>
                <w:sz w:val="22"/>
                <w:lang w:val="en-US" w:eastAsia="en-GB" w:bidi="ar-SA"/>
              </w:rPr>
            </w:pPr>
            <w:r w:rsidRPr="00377BCC">
              <w:rPr>
                <w:rFonts w:ascii="Gadugi" w:eastAsia="Times New Roman" w:hAnsi="Gadugi"/>
                <w:sz w:val="22"/>
                <w:lang w:bidi="ar-SA"/>
              </w:rPr>
              <w:t>Wrap up</w:t>
            </w:r>
          </w:p>
        </w:tc>
        <w:tc>
          <w:tcPr>
            <w:tcW w:w="7473" w:type="dxa"/>
          </w:tcPr>
          <w:p w14:paraId="0CE81129" w14:textId="59BA5BE0" w:rsidR="00B7482C" w:rsidRPr="00377BCC" w:rsidRDefault="00B7482C" w:rsidP="00B7482C">
            <w:pPr>
              <w:rPr>
                <w:rFonts w:ascii="Gadugi" w:hAnsi="Gadugi"/>
                <w:sz w:val="22"/>
              </w:rPr>
            </w:pPr>
            <w:r w:rsidRPr="00377BCC">
              <w:rPr>
                <w:rFonts w:ascii="Gadugi" w:hAnsi="Gadugi"/>
                <w:sz w:val="22"/>
              </w:rPr>
              <w:t>A consolidation of the module and key points.  There is no activity here.</w:t>
            </w:r>
          </w:p>
        </w:tc>
      </w:tr>
      <w:tr w:rsidR="004D24A7" w:rsidRPr="004D24A7" w14:paraId="5DAC0CED" w14:textId="77777777" w:rsidTr="00972474">
        <w:tc>
          <w:tcPr>
            <w:tcW w:w="2263" w:type="dxa"/>
          </w:tcPr>
          <w:p w14:paraId="6EE65566" w14:textId="3E6B05A6" w:rsidR="00B7482C" w:rsidRPr="00377BCC" w:rsidRDefault="00B7482C" w:rsidP="00B7482C">
            <w:pPr>
              <w:pStyle w:val="Heading1"/>
              <w:spacing w:before="0"/>
              <w:outlineLvl w:val="0"/>
              <w:rPr>
                <w:rFonts w:ascii="Gadugi" w:eastAsiaTheme="minorHAnsi" w:hAnsi="Gadugi" w:cstheme="minorBidi"/>
                <w:color w:val="auto"/>
                <w:sz w:val="22"/>
                <w:szCs w:val="22"/>
                <w:lang w:val="en-US" w:eastAsia="en-GB" w:bidi="ar-SA"/>
              </w:rPr>
            </w:pPr>
            <w:r w:rsidRPr="00377BCC">
              <w:rPr>
                <w:rFonts w:ascii="Gadugi" w:eastAsiaTheme="minorHAnsi" w:hAnsi="Gadugi" w:cstheme="minorBidi"/>
                <w:color w:val="auto"/>
                <w:sz w:val="22"/>
                <w:szCs w:val="22"/>
                <w:lang w:val="en-US" w:eastAsia="en-GB" w:bidi="ar-SA"/>
              </w:rPr>
              <w:t xml:space="preserve">End of module </w:t>
            </w:r>
            <w:r w:rsidR="00377BCC" w:rsidRPr="00377BCC">
              <w:rPr>
                <w:rFonts w:ascii="Gadugi" w:eastAsiaTheme="minorHAnsi" w:hAnsi="Gadugi" w:cstheme="minorBidi"/>
                <w:color w:val="auto"/>
                <w:sz w:val="22"/>
                <w:szCs w:val="22"/>
                <w:lang w:val="en-US" w:eastAsia="en-GB" w:bidi="ar-SA"/>
              </w:rPr>
              <w:t xml:space="preserve">10 </w:t>
            </w:r>
            <w:r w:rsidRPr="00377BCC">
              <w:rPr>
                <w:rFonts w:ascii="Gadugi" w:eastAsiaTheme="minorHAnsi" w:hAnsi="Gadugi" w:cstheme="minorBidi"/>
                <w:color w:val="auto"/>
                <w:sz w:val="22"/>
                <w:szCs w:val="22"/>
                <w:lang w:val="en-US" w:eastAsia="en-GB" w:bidi="ar-SA"/>
              </w:rPr>
              <w:t>quiz</w:t>
            </w:r>
          </w:p>
          <w:p w14:paraId="358D8A71" w14:textId="77777777" w:rsidR="00B7482C" w:rsidRPr="004D24A7" w:rsidRDefault="00B7482C" w:rsidP="00B7482C">
            <w:pPr>
              <w:rPr>
                <w:rFonts w:ascii="Gadugi" w:eastAsia="Times New Roman" w:hAnsi="Gadugi"/>
                <w:color w:val="4472C4" w:themeColor="accent1"/>
                <w:sz w:val="22"/>
                <w:lang w:bidi="ar-SA"/>
              </w:rPr>
            </w:pPr>
          </w:p>
        </w:tc>
        <w:tc>
          <w:tcPr>
            <w:tcW w:w="7473" w:type="dxa"/>
          </w:tcPr>
          <w:p w14:paraId="1204CFFE" w14:textId="2B1BEBA9" w:rsidR="00B7482C" w:rsidRPr="004D24A7" w:rsidRDefault="00B7482C" w:rsidP="00B7482C">
            <w:pPr>
              <w:rPr>
                <w:rFonts w:ascii="Gadugi" w:hAnsi="Gadugi"/>
                <w:color w:val="4472C4" w:themeColor="accent1"/>
                <w:sz w:val="22"/>
              </w:rPr>
            </w:pPr>
            <w:r w:rsidRPr="00377BCC">
              <w:rPr>
                <w:rFonts w:ascii="Gadugi" w:hAnsi="Gadugi"/>
                <w:sz w:val="22"/>
              </w:rPr>
              <w:t xml:space="preserve">This is a multiple-choice questionnaire that tests participants’ understanding of the module. Encourage participants to self-assess and revisit their answers as many times as needed to achieve 100%.  </w:t>
            </w:r>
          </w:p>
        </w:tc>
      </w:tr>
      <w:tr w:rsidR="00B7482C" w:rsidRPr="004D24A7" w14:paraId="0C0C5E90" w14:textId="77777777" w:rsidTr="00972474">
        <w:tc>
          <w:tcPr>
            <w:tcW w:w="2263" w:type="dxa"/>
          </w:tcPr>
          <w:p w14:paraId="74D8A2E5" w14:textId="45ADE16C" w:rsidR="00B7482C" w:rsidRPr="004D24A7" w:rsidRDefault="00B7482C" w:rsidP="00B7482C">
            <w:pPr>
              <w:pStyle w:val="Heading1"/>
              <w:spacing w:before="0"/>
              <w:outlineLvl w:val="0"/>
              <w:rPr>
                <w:rFonts w:ascii="Gadugi" w:eastAsiaTheme="minorHAnsi" w:hAnsi="Gadugi" w:cstheme="minorBidi"/>
                <w:color w:val="4472C4" w:themeColor="accent1"/>
                <w:sz w:val="22"/>
                <w:szCs w:val="22"/>
                <w:lang w:eastAsia="en-GB" w:bidi="ar-SA"/>
              </w:rPr>
            </w:pPr>
            <w:r w:rsidRPr="00377BCC">
              <w:rPr>
                <w:rFonts w:ascii="Gadugi" w:eastAsiaTheme="minorHAnsi" w:hAnsi="Gadugi" w:cstheme="minorBidi"/>
                <w:color w:val="auto"/>
                <w:sz w:val="22"/>
                <w:szCs w:val="22"/>
                <w:lang w:eastAsia="en-GB" w:bidi="ar-SA"/>
              </w:rPr>
              <w:t xml:space="preserve">Answers to the end of module </w:t>
            </w:r>
            <w:r w:rsidR="00377BCC">
              <w:rPr>
                <w:rFonts w:ascii="Gadugi" w:eastAsiaTheme="minorHAnsi" w:hAnsi="Gadugi" w:cstheme="minorBidi"/>
                <w:color w:val="auto"/>
                <w:sz w:val="22"/>
                <w:szCs w:val="22"/>
                <w:lang w:eastAsia="en-GB" w:bidi="ar-SA"/>
              </w:rPr>
              <w:t>10</w:t>
            </w:r>
            <w:r w:rsidRPr="00377BCC">
              <w:rPr>
                <w:rFonts w:ascii="Gadugi" w:eastAsiaTheme="minorHAnsi" w:hAnsi="Gadugi" w:cstheme="minorBidi"/>
                <w:color w:val="auto"/>
                <w:sz w:val="22"/>
                <w:szCs w:val="22"/>
                <w:lang w:eastAsia="en-GB" w:bidi="ar-SA"/>
              </w:rPr>
              <w:t xml:space="preserve"> quiz</w:t>
            </w:r>
          </w:p>
        </w:tc>
        <w:tc>
          <w:tcPr>
            <w:tcW w:w="7473" w:type="dxa"/>
          </w:tcPr>
          <w:p w14:paraId="35EE24F3" w14:textId="661D7DEF" w:rsidR="00B723BE" w:rsidRPr="00D64765" w:rsidRDefault="00B7482C" w:rsidP="00B7482C">
            <w:pPr>
              <w:rPr>
                <w:rFonts w:ascii="Gadugi" w:hAnsi="Gadugi" w:cs="Calibri"/>
                <w:kern w:val="1"/>
                <w:sz w:val="22"/>
                <w:lang w:eastAsia="en-GB" w:bidi="ar-SA"/>
              </w:rPr>
            </w:pPr>
            <w:r w:rsidRPr="00377BCC">
              <w:rPr>
                <w:rFonts w:ascii="Gadugi" w:hAnsi="Gadugi" w:cs="Calibri"/>
                <w:kern w:val="1"/>
                <w:sz w:val="22"/>
                <w:lang w:eastAsia="en-GB" w:bidi="ar-SA"/>
              </w:rPr>
              <w:t>Participants should revisit the questions until they achieve 100%. Remind them that some questions require more than one answer.</w:t>
            </w:r>
          </w:p>
        </w:tc>
      </w:tr>
    </w:tbl>
    <w:p w14:paraId="2E0CA532" w14:textId="362A4795" w:rsidR="00377BCC" w:rsidRDefault="00377BCC" w:rsidP="00B7482C">
      <w:pPr>
        <w:shd w:val="clear" w:color="auto" w:fill="FFFFFF"/>
        <w:spacing w:after="100" w:afterAutospacing="1" w:line="240" w:lineRule="auto"/>
        <w:rPr>
          <w:rFonts w:eastAsia="Times New Roman" w:cstheme="minorHAnsi"/>
          <w:b/>
          <w:color w:val="4472C4" w:themeColor="accent1"/>
          <w:szCs w:val="24"/>
          <w:lang w:val="en-GB" w:eastAsia="ja-JP" w:bidi="ar-SA"/>
        </w:rPr>
      </w:pPr>
    </w:p>
    <w:p w14:paraId="144181E9" w14:textId="6E83D1EA" w:rsidR="00C863D7" w:rsidRPr="00755F70" w:rsidRDefault="00C863D7" w:rsidP="00C863D7">
      <w:pPr>
        <w:pStyle w:val="Heading1"/>
        <w:spacing w:line="240" w:lineRule="auto"/>
        <w:rPr>
          <w:b/>
          <w:bCs/>
          <w:sz w:val="26"/>
          <w:szCs w:val="26"/>
        </w:rPr>
      </w:pPr>
      <w:r w:rsidRPr="00755F70">
        <w:rPr>
          <w:b/>
          <w:bCs/>
          <w:sz w:val="26"/>
          <w:szCs w:val="26"/>
        </w:rPr>
        <w:lastRenderedPageBreak/>
        <w:t xml:space="preserve">Answers - End of module </w:t>
      </w:r>
      <w:r w:rsidR="00377BCC" w:rsidRPr="00755F70">
        <w:rPr>
          <w:b/>
          <w:bCs/>
          <w:sz w:val="26"/>
          <w:szCs w:val="26"/>
        </w:rPr>
        <w:t>10</w:t>
      </w:r>
      <w:r w:rsidRPr="00755F70">
        <w:rPr>
          <w:b/>
          <w:bCs/>
          <w:sz w:val="26"/>
          <w:szCs w:val="26"/>
        </w:rPr>
        <w:t xml:space="preserve"> quiz</w:t>
      </w:r>
    </w:p>
    <w:p w14:paraId="194AE803" w14:textId="77777777" w:rsidR="00755F70" w:rsidRPr="00D11B55" w:rsidRDefault="00755F70" w:rsidP="00755F70">
      <w:pPr>
        <w:spacing w:after="0" w:line="240" w:lineRule="auto"/>
        <w:jc w:val="both"/>
        <w:rPr>
          <w:rFonts w:ascii="Gadugi" w:hAnsi="Gadugi"/>
          <w:sz w:val="22"/>
          <w:lang w:bidi="ar-SA"/>
        </w:rPr>
      </w:pPr>
      <w:r w:rsidRPr="00D11B55">
        <w:rPr>
          <w:rFonts w:ascii="Gadugi" w:hAnsi="Gadugi"/>
          <w:sz w:val="22"/>
          <w:lang w:bidi="ar-SA"/>
        </w:rPr>
        <w:t xml:space="preserve">Answers in </w:t>
      </w:r>
      <w:r w:rsidRPr="00D11B55">
        <w:rPr>
          <w:rFonts w:ascii="Gadugi" w:hAnsi="Gadugi"/>
          <w:b/>
          <w:bCs/>
          <w:sz w:val="22"/>
          <w:lang w:bidi="ar-SA"/>
        </w:rPr>
        <w:t>bold</w:t>
      </w:r>
    </w:p>
    <w:p w14:paraId="5218E4E2" w14:textId="77777777" w:rsidR="00755F70" w:rsidRPr="00755F70" w:rsidRDefault="00755F70" w:rsidP="00755F70"/>
    <w:p w14:paraId="3CC31DC6" w14:textId="77777777" w:rsidR="000216D6" w:rsidRPr="000216D6" w:rsidRDefault="000216D6" w:rsidP="000216D6">
      <w:pPr>
        <w:spacing w:after="0" w:line="240" w:lineRule="auto"/>
        <w:jc w:val="both"/>
        <w:rPr>
          <w:rFonts w:ascii="Gadugi" w:hAnsi="Gadugi"/>
          <w:sz w:val="22"/>
          <w:lang w:bidi="ar-SA"/>
        </w:rPr>
      </w:pPr>
      <w:bookmarkStart w:id="11" w:name="_Hlk89421592"/>
      <w:r w:rsidRPr="000216D6">
        <w:rPr>
          <w:rFonts w:ascii="Gadugi" w:hAnsi="Gadugi"/>
          <w:sz w:val="22"/>
          <w:lang w:bidi="ar-SA"/>
        </w:rPr>
        <w:t xml:space="preserve">Q1 – A law; </w:t>
      </w:r>
    </w:p>
    <w:p w14:paraId="245A1A76" w14:textId="77777777" w:rsidR="000216D6" w:rsidRPr="000216D6" w:rsidRDefault="000216D6" w:rsidP="000216D6">
      <w:pPr>
        <w:numPr>
          <w:ilvl w:val="0"/>
          <w:numId w:val="7"/>
        </w:numPr>
        <w:spacing w:after="0" w:line="240" w:lineRule="auto"/>
        <w:contextualSpacing/>
        <w:jc w:val="both"/>
        <w:rPr>
          <w:rFonts w:ascii="Gadugi" w:hAnsi="Gadugi"/>
          <w:sz w:val="22"/>
          <w:lang w:bidi="ar-SA"/>
        </w:rPr>
      </w:pPr>
      <w:r w:rsidRPr="000216D6">
        <w:rPr>
          <w:rFonts w:ascii="Gadugi" w:hAnsi="Gadugi"/>
          <w:sz w:val="22"/>
          <w:lang w:bidi="ar-SA"/>
        </w:rPr>
        <w:t>is something that schools write for their staff to follow</w:t>
      </w:r>
    </w:p>
    <w:p w14:paraId="2FB5D911" w14:textId="77777777" w:rsidR="000216D6" w:rsidRPr="000216D6" w:rsidRDefault="000216D6" w:rsidP="000216D6">
      <w:pPr>
        <w:numPr>
          <w:ilvl w:val="0"/>
          <w:numId w:val="7"/>
        </w:numPr>
        <w:spacing w:after="0" w:line="240" w:lineRule="auto"/>
        <w:contextualSpacing/>
        <w:jc w:val="both"/>
        <w:rPr>
          <w:rFonts w:ascii="Gadugi" w:hAnsi="Gadugi"/>
          <w:sz w:val="22"/>
          <w:lang w:bidi="ar-SA"/>
        </w:rPr>
      </w:pPr>
      <w:r w:rsidRPr="000216D6">
        <w:rPr>
          <w:rFonts w:ascii="Gadugi" w:hAnsi="Gadugi"/>
          <w:sz w:val="22"/>
          <w:lang w:bidi="ar-SA"/>
        </w:rPr>
        <w:t>can be ignored</w:t>
      </w:r>
    </w:p>
    <w:p w14:paraId="6E551D7E" w14:textId="77777777" w:rsidR="000216D6" w:rsidRPr="000216D6" w:rsidRDefault="000216D6" w:rsidP="000216D6">
      <w:pPr>
        <w:numPr>
          <w:ilvl w:val="0"/>
          <w:numId w:val="7"/>
        </w:numPr>
        <w:spacing w:after="0" w:line="240" w:lineRule="auto"/>
        <w:contextualSpacing/>
        <w:jc w:val="both"/>
        <w:rPr>
          <w:rFonts w:ascii="Gadugi" w:hAnsi="Gadugi"/>
          <w:b/>
          <w:bCs/>
          <w:sz w:val="22"/>
          <w:lang w:bidi="ar-SA"/>
        </w:rPr>
      </w:pPr>
      <w:bookmarkStart w:id="12" w:name="_Hlk89270056"/>
      <w:r w:rsidRPr="000216D6">
        <w:rPr>
          <w:rFonts w:ascii="Gadugi" w:hAnsi="Gadugi"/>
          <w:b/>
          <w:bCs/>
          <w:sz w:val="22"/>
          <w:lang w:bidi="ar-SA"/>
        </w:rPr>
        <w:t>makes the legal framework to make sure that policies are put into action</w:t>
      </w:r>
      <w:bookmarkEnd w:id="12"/>
      <w:r w:rsidRPr="000216D6">
        <w:rPr>
          <w:rFonts w:ascii="Gadugi" w:hAnsi="Gadugi"/>
          <w:b/>
          <w:bCs/>
          <w:sz w:val="22"/>
          <w:lang w:bidi="ar-SA"/>
        </w:rPr>
        <w:t xml:space="preserve"> </w:t>
      </w:r>
    </w:p>
    <w:p w14:paraId="52594D14" w14:textId="77777777" w:rsidR="000216D6" w:rsidRPr="000216D6" w:rsidRDefault="000216D6" w:rsidP="000216D6">
      <w:pPr>
        <w:numPr>
          <w:ilvl w:val="0"/>
          <w:numId w:val="7"/>
        </w:numPr>
        <w:spacing w:after="0" w:line="240" w:lineRule="auto"/>
        <w:contextualSpacing/>
        <w:jc w:val="both"/>
        <w:rPr>
          <w:rFonts w:ascii="Gadugi" w:hAnsi="Gadugi"/>
          <w:sz w:val="22"/>
          <w:lang w:bidi="ar-SA"/>
        </w:rPr>
      </w:pPr>
      <w:r w:rsidRPr="000216D6">
        <w:rPr>
          <w:rFonts w:ascii="Gadugi" w:hAnsi="Gadugi"/>
          <w:sz w:val="22"/>
          <w:lang w:bidi="ar-SA"/>
        </w:rPr>
        <w:t xml:space="preserve">is linked to tradition and culture </w:t>
      </w:r>
    </w:p>
    <w:p w14:paraId="46EEDE18" w14:textId="77777777" w:rsidR="000216D6" w:rsidRPr="000216D6" w:rsidRDefault="000216D6" w:rsidP="000216D6">
      <w:pPr>
        <w:spacing w:after="0" w:line="240" w:lineRule="auto"/>
        <w:contextualSpacing/>
        <w:jc w:val="both"/>
        <w:rPr>
          <w:rFonts w:ascii="Gadugi" w:hAnsi="Gadugi"/>
          <w:sz w:val="22"/>
          <w:lang w:bidi="ar-SA"/>
        </w:rPr>
      </w:pPr>
      <w:bookmarkStart w:id="13" w:name="_Hlk89420460"/>
      <w:r w:rsidRPr="000216D6">
        <w:rPr>
          <w:rFonts w:ascii="Gadugi" w:hAnsi="Gadugi"/>
          <w:b/>
          <w:bCs/>
          <w:sz w:val="22"/>
          <w:lang w:eastAsia="en-GB" w:bidi="ar-SA"/>
        </w:rPr>
        <w:t>Explanation</w:t>
      </w:r>
      <w:bookmarkEnd w:id="13"/>
      <w:r w:rsidRPr="000216D6">
        <w:rPr>
          <w:rFonts w:ascii="Gadugi" w:hAnsi="Gadugi"/>
          <w:sz w:val="22"/>
          <w:lang w:eastAsia="en-GB" w:bidi="ar-SA"/>
        </w:rPr>
        <w:t xml:space="preserve"> - the system of rules which a particular country or community recognises as regulating the actions of its members and which it may enforce by the imposition of penalties.</w:t>
      </w:r>
    </w:p>
    <w:p w14:paraId="54CB12CA" w14:textId="77777777" w:rsidR="000216D6" w:rsidRPr="000216D6" w:rsidRDefault="000216D6" w:rsidP="000216D6">
      <w:pPr>
        <w:spacing w:after="0" w:line="240" w:lineRule="auto"/>
        <w:jc w:val="both"/>
        <w:rPr>
          <w:rFonts w:ascii="Gadugi" w:hAnsi="Gadugi"/>
          <w:color w:val="44546A" w:themeColor="text2"/>
          <w:sz w:val="22"/>
          <w:lang w:bidi="ar-SA"/>
        </w:rPr>
      </w:pPr>
    </w:p>
    <w:p w14:paraId="0D9CA195" w14:textId="77777777" w:rsidR="000216D6" w:rsidRPr="000216D6" w:rsidRDefault="000216D6" w:rsidP="000216D6">
      <w:pPr>
        <w:spacing w:after="0" w:line="240" w:lineRule="auto"/>
        <w:jc w:val="both"/>
        <w:rPr>
          <w:rFonts w:ascii="Gadugi" w:hAnsi="Gadugi"/>
          <w:color w:val="44546A" w:themeColor="text2"/>
          <w:sz w:val="22"/>
          <w:lang w:bidi="ar-SA"/>
        </w:rPr>
      </w:pPr>
    </w:p>
    <w:p w14:paraId="4CEF8E92"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sz w:val="22"/>
          <w:lang w:bidi="ar-SA"/>
        </w:rPr>
        <w:t xml:space="preserve">Q2 – A policy; </w:t>
      </w:r>
    </w:p>
    <w:p w14:paraId="1D3D4EC8" w14:textId="77777777" w:rsidR="000216D6" w:rsidRPr="000216D6" w:rsidRDefault="000216D6" w:rsidP="000216D6">
      <w:pPr>
        <w:numPr>
          <w:ilvl w:val="0"/>
          <w:numId w:val="8"/>
        </w:numPr>
        <w:spacing w:after="0" w:line="240" w:lineRule="auto"/>
        <w:contextualSpacing/>
        <w:jc w:val="both"/>
        <w:rPr>
          <w:rFonts w:ascii="Gadugi" w:hAnsi="Gadugi"/>
          <w:sz w:val="22"/>
          <w:lang w:bidi="ar-SA"/>
        </w:rPr>
      </w:pPr>
      <w:r w:rsidRPr="000216D6">
        <w:rPr>
          <w:rFonts w:ascii="Gadugi" w:hAnsi="Gadugi"/>
          <w:sz w:val="22"/>
          <w:lang w:bidi="ar-SA"/>
        </w:rPr>
        <w:t>provides different views of a law.</w:t>
      </w:r>
    </w:p>
    <w:p w14:paraId="54041D08" w14:textId="77777777" w:rsidR="000216D6" w:rsidRPr="000216D6" w:rsidRDefault="000216D6" w:rsidP="000216D6">
      <w:pPr>
        <w:numPr>
          <w:ilvl w:val="0"/>
          <w:numId w:val="8"/>
        </w:numPr>
        <w:spacing w:after="0" w:line="240" w:lineRule="auto"/>
        <w:contextualSpacing/>
        <w:jc w:val="both"/>
        <w:rPr>
          <w:rFonts w:ascii="Gadugi" w:hAnsi="Gadugi"/>
          <w:b/>
          <w:bCs/>
          <w:sz w:val="22"/>
          <w:lang w:bidi="ar-SA"/>
        </w:rPr>
      </w:pPr>
      <w:bookmarkStart w:id="14" w:name="_Hlk89269638"/>
      <w:r w:rsidRPr="000216D6">
        <w:rPr>
          <w:rFonts w:ascii="Gadugi" w:hAnsi="Gadugi"/>
          <w:b/>
          <w:bCs/>
          <w:sz w:val="22"/>
          <w:lang w:bidi="ar-SA"/>
        </w:rPr>
        <w:t xml:space="preserve">states the intention of an individual or an organisation (for example a government). It says what the person or organisation plans to do.  </w:t>
      </w:r>
    </w:p>
    <w:bookmarkEnd w:id="14"/>
    <w:p w14:paraId="3CDA9599" w14:textId="77777777" w:rsidR="000216D6" w:rsidRPr="000216D6" w:rsidRDefault="000216D6" w:rsidP="000216D6">
      <w:pPr>
        <w:numPr>
          <w:ilvl w:val="0"/>
          <w:numId w:val="8"/>
        </w:numPr>
        <w:spacing w:after="0" w:line="240" w:lineRule="auto"/>
        <w:contextualSpacing/>
        <w:jc w:val="both"/>
        <w:rPr>
          <w:rFonts w:ascii="Gadugi" w:hAnsi="Gadugi"/>
          <w:sz w:val="22"/>
          <w:lang w:bidi="ar-SA"/>
        </w:rPr>
      </w:pPr>
      <w:r w:rsidRPr="000216D6">
        <w:rPr>
          <w:rFonts w:ascii="Gadugi" w:hAnsi="Gadugi"/>
          <w:sz w:val="22"/>
          <w:lang w:bidi="ar-SA"/>
        </w:rPr>
        <w:t>is a law.</w:t>
      </w:r>
    </w:p>
    <w:p w14:paraId="28A9D252" w14:textId="77777777" w:rsidR="000216D6" w:rsidRPr="000216D6" w:rsidRDefault="000216D6" w:rsidP="000216D6">
      <w:pPr>
        <w:numPr>
          <w:ilvl w:val="0"/>
          <w:numId w:val="8"/>
        </w:numPr>
        <w:spacing w:after="0" w:line="240" w:lineRule="auto"/>
        <w:contextualSpacing/>
        <w:jc w:val="both"/>
        <w:rPr>
          <w:rFonts w:ascii="Gadugi" w:hAnsi="Gadugi"/>
          <w:sz w:val="22"/>
          <w:lang w:bidi="ar-SA"/>
        </w:rPr>
      </w:pPr>
      <w:r w:rsidRPr="000216D6">
        <w:rPr>
          <w:rFonts w:ascii="Gadugi" w:hAnsi="Gadugi"/>
          <w:sz w:val="22"/>
          <w:lang w:bidi="ar-SA"/>
        </w:rPr>
        <w:t>provides examples of how a teacher needs to teach.</w:t>
      </w:r>
    </w:p>
    <w:p w14:paraId="15F64F0F"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b/>
          <w:bCs/>
          <w:sz w:val="22"/>
          <w:lang w:bidi="ar-SA"/>
        </w:rPr>
        <w:t>Explanation</w:t>
      </w:r>
      <w:r w:rsidRPr="000216D6">
        <w:rPr>
          <w:rFonts w:ascii="Gadugi" w:hAnsi="Gadugi"/>
          <w:sz w:val="22"/>
          <w:lang w:bidi="ar-SA"/>
        </w:rPr>
        <w:t xml:space="preserve"> – This is what an organisation/government plans to do and how they will do it.</w:t>
      </w:r>
    </w:p>
    <w:p w14:paraId="2543BFED" w14:textId="77777777" w:rsidR="000216D6" w:rsidRPr="000216D6" w:rsidRDefault="000216D6" w:rsidP="000216D6">
      <w:pPr>
        <w:spacing w:after="0" w:line="240" w:lineRule="auto"/>
        <w:jc w:val="both"/>
        <w:rPr>
          <w:rFonts w:ascii="Gadugi" w:hAnsi="Gadugi"/>
          <w:sz w:val="22"/>
          <w:lang w:bidi="ar-SA"/>
        </w:rPr>
      </w:pPr>
    </w:p>
    <w:p w14:paraId="3326B9E5" w14:textId="77777777" w:rsidR="000216D6" w:rsidRPr="000216D6" w:rsidRDefault="000216D6" w:rsidP="000216D6">
      <w:pPr>
        <w:spacing w:after="0" w:line="240" w:lineRule="auto"/>
        <w:jc w:val="both"/>
        <w:rPr>
          <w:rFonts w:ascii="Gadugi" w:hAnsi="Gadugi"/>
          <w:sz w:val="22"/>
          <w:lang w:bidi="ar-SA"/>
        </w:rPr>
      </w:pPr>
    </w:p>
    <w:p w14:paraId="6FB65503"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sz w:val="22"/>
          <w:lang w:bidi="ar-SA"/>
        </w:rPr>
        <w:t xml:space="preserve">Q3 – The Acronym SDGs means: </w:t>
      </w:r>
    </w:p>
    <w:p w14:paraId="40E85797" w14:textId="77777777" w:rsidR="000216D6" w:rsidRPr="000216D6" w:rsidRDefault="000216D6" w:rsidP="000216D6">
      <w:pPr>
        <w:numPr>
          <w:ilvl w:val="0"/>
          <w:numId w:val="9"/>
        </w:numPr>
        <w:spacing w:after="0" w:line="240" w:lineRule="auto"/>
        <w:contextualSpacing/>
        <w:jc w:val="both"/>
        <w:rPr>
          <w:rFonts w:ascii="Gadugi" w:hAnsi="Gadugi"/>
          <w:sz w:val="22"/>
          <w:lang w:bidi="ar-SA"/>
        </w:rPr>
      </w:pPr>
      <w:r w:rsidRPr="000216D6">
        <w:rPr>
          <w:rFonts w:ascii="Gadugi" w:hAnsi="Gadugi"/>
          <w:sz w:val="22"/>
          <w:lang w:bidi="ar-SA"/>
        </w:rPr>
        <w:t>Substantial Development Goals</w:t>
      </w:r>
    </w:p>
    <w:p w14:paraId="2C750D4E" w14:textId="77777777" w:rsidR="000216D6" w:rsidRPr="000216D6" w:rsidRDefault="000216D6" w:rsidP="000216D6">
      <w:pPr>
        <w:numPr>
          <w:ilvl w:val="0"/>
          <w:numId w:val="9"/>
        </w:numPr>
        <w:spacing w:after="0" w:line="240" w:lineRule="auto"/>
        <w:contextualSpacing/>
        <w:jc w:val="both"/>
        <w:rPr>
          <w:rFonts w:ascii="Gadugi" w:hAnsi="Gadugi"/>
          <w:sz w:val="22"/>
          <w:lang w:bidi="ar-SA"/>
        </w:rPr>
      </w:pPr>
      <w:r w:rsidRPr="000216D6">
        <w:rPr>
          <w:rFonts w:ascii="Gadugi" w:hAnsi="Gadugi"/>
          <w:sz w:val="22"/>
          <w:lang w:bidi="ar-SA"/>
        </w:rPr>
        <w:t>Sustainable Development Gains</w:t>
      </w:r>
    </w:p>
    <w:p w14:paraId="218C2DD3" w14:textId="77777777" w:rsidR="000216D6" w:rsidRPr="000216D6" w:rsidRDefault="000216D6" w:rsidP="000216D6">
      <w:pPr>
        <w:numPr>
          <w:ilvl w:val="0"/>
          <w:numId w:val="9"/>
        </w:numPr>
        <w:spacing w:after="0" w:line="240" w:lineRule="auto"/>
        <w:contextualSpacing/>
        <w:jc w:val="both"/>
        <w:rPr>
          <w:rFonts w:ascii="Gadugi" w:hAnsi="Gadugi"/>
          <w:b/>
          <w:bCs/>
          <w:sz w:val="22"/>
          <w:lang w:bidi="ar-SA"/>
        </w:rPr>
      </w:pPr>
      <w:r w:rsidRPr="000216D6">
        <w:rPr>
          <w:rFonts w:ascii="Gadugi" w:hAnsi="Gadugi"/>
          <w:b/>
          <w:bCs/>
          <w:sz w:val="22"/>
          <w:lang w:bidi="ar-SA"/>
        </w:rPr>
        <w:t>Sustainable Development Goals</w:t>
      </w:r>
    </w:p>
    <w:p w14:paraId="19C6ABE1" w14:textId="77777777" w:rsidR="000216D6" w:rsidRPr="000216D6" w:rsidRDefault="000216D6" w:rsidP="000216D6">
      <w:pPr>
        <w:numPr>
          <w:ilvl w:val="0"/>
          <w:numId w:val="9"/>
        </w:numPr>
        <w:spacing w:after="0" w:line="240" w:lineRule="auto"/>
        <w:contextualSpacing/>
        <w:jc w:val="both"/>
        <w:rPr>
          <w:rFonts w:ascii="Gadugi" w:hAnsi="Gadugi"/>
          <w:sz w:val="22"/>
          <w:lang w:bidi="ar-SA"/>
        </w:rPr>
      </w:pPr>
      <w:r w:rsidRPr="000216D6">
        <w:rPr>
          <w:rFonts w:ascii="Gadugi" w:hAnsi="Gadugi"/>
          <w:sz w:val="22"/>
          <w:lang w:bidi="ar-SA"/>
        </w:rPr>
        <w:t>Specific Development Goals</w:t>
      </w:r>
    </w:p>
    <w:p w14:paraId="75BCA15D" w14:textId="77777777" w:rsidR="000216D6" w:rsidRPr="000216D6" w:rsidRDefault="000216D6" w:rsidP="000216D6">
      <w:pPr>
        <w:spacing w:after="0" w:line="240" w:lineRule="auto"/>
        <w:contextualSpacing/>
        <w:jc w:val="both"/>
        <w:rPr>
          <w:rFonts w:ascii="Gadugi" w:hAnsi="Gadugi"/>
          <w:sz w:val="22"/>
          <w:lang w:bidi="ar-SA"/>
        </w:rPr>
      </w:pPr>
      <w:r w:rsidRPr="000216D6">
        <w:rPr>
          <w:rFonts w:ascii="Gadugi" w:hAnsi="Gadugi"/>
          <w:b/>
          <w:bCs/>
          <w:sz w:val="22"/>
          <w:lang w:bidi="ar-SA"/>
        </w:rPr>
        <w:t>Explanation</w:t>
      </w:r>
      <w:r w:rsidRPr="000216D6">
        <w:rPr>
          <w:rFonts w:ascii="Gadugi" w:hAnsi="Gadugi"/>
          <w:sz w:val="22"/>
          <w:lang w:bidi="ar-SA"/>
        </w:rPr>
        <w:t xml:space="preserve"> – The 17 Sustainable Development Goals, specifically SDG 4, followed by 193 countries, forms the basis of worldwide targets for improving the quality of education.</w:t>
      </w:r>
    </w:p>
    <w:p w14:paraId="608769B0" w14:textId="77777777" w:rsidR="000216D6" w:rsidRPr="000216D6" w:rsidRDefault="000216D6" w:rsidP="000216D6">
      <w:pPr>
        <w:spacing w:after="0" w:line="240" w:lineRule="auto"/>
        <w:jc w:val="both"/>
        <w:rPr>
          <w:rFonts w:ascii="Gadugi" w:hAnsi="Gadugi"/>
          <w:sz w:val="22"/>
          <w:lang w:bidi="ar-SA"/>
        </w:rPr>
      </w:pPr>
    </w:p>
    <w:p w14:paraId="45EE7D59" w14:textId="77777777" w:rsidR="000216D6" w:rsidRPr="000216D6" w:rsidRDefault="000216D6" w:rsidP="000216D6">
      <w:pPr>
        <w:spacing w:after="0" w:line="240" w:lineRule="auto"/>
        <w:jc w:val="both"/>
        <w:rPr>
          <w:rFonts w:ascii="Gadugi" w:hAnsi="Gadugi"/>
          <w:sz w:val="22"/>
          <w:lang w:bidi="ar-SA"/>
        </w:rPr>
      </w:pPr>
    </w:p>
    <w:p w14:paraId="694B9533"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sz w:val="22"/>
          <w:lang w:bidi="ar-SA"/>
        </w:rPr>
        <w:t>Q4 –  A practice (linked to laws and policies)</w:t>
      </w:r>
    </w:p>
    <w:p w14:paraId="13A7A583" w14:textId="77777777" w:rsidR="000216D6" w:rsidRPr="000216D6" w:rsidRDefault="000216D6" w:rsidP="000216D6">
      <w:pPr>
        <w:numPr>
          <w:ilvl w:val="0"/>
          <w:numId w:val="10"/>
        </w:numPr>
        <w:spacing w:after="0" w:line="240" w:lineRule="auto"/>
        <w:contextualSpacing/>
        <w:jc w:val="both"/>
        <w:rPr>
          <w:rFonts w:ascii="Gadugi" w:hAnsi="Gadugi"/>
          <w:sz w:val="22"/>
          <w:lang w:bidi="ar-SA"/>
        </w:rPr>
      </w:pPr>
      <w:r w:rsidRPr="000216D6">
        <w:rPr>
          <w:rFonts w:ascii="Gadugi" w:hAnsi="Gadugi"/>
          <w:sz w:val="22"/>
          <w:lang w:bidi="ar-SA"/>
        </w:rPr>
        <w:t>means to repeat an activity until you get it right</w:t>
      </w:r>
    </w:p>
    <w:p w14:paraId="21856038" w14:textId="77777777" w:rsidR="000216D6" w:rsidRPr="000216D6" w:rsidRDefault="000216D6" w:rsidP="000216D6">
      <w:pPr>
        <w:numPr>
          <w:ilvl w:val="0"/>
          <w:numId w:val="10"/>
        </w:numPr>
        <w:spacing w:after="0" w:line="240" w:lineRule="auto"/>
        <w:contextualSpacing/>
        <w:jc w:val="both"/>
        <w:rPr>
          <w:rFonts w:ascii="Gadugi" w:hAnsi="Gadugi"/>
          <w:b/>
          <w:bCs/>
          <w:sz w:val="22"/>
          <w:lang w:bidi="ar-SA"/>
        </w:rPr>
      </w:pPr>
      <w:r w:rsidRPr="000216D6">
        <w:rPr>
          <w:rFonts w:ascii="Gadugi" w:hAnsi="Gadugi"/>
          <w:b/>
          <w:bCs/>
          <w:sz w:val="22"/>
          <w:lang w:bidi="ar-SA"/>
        </w:rPr>
        <w:t xml:space="preserve">the actual application </w:t>
      </w:r>
      <w:bookmarkStart w:id="15" w:name="_Hlk89270260"/>
      <w:r w:rsidRPr="000216D6">
        <w:rPr>
          <w:rFonts w:ascii="Gadugi" w:hAnsi="Gadugi"/>
          <w:b/>
          <w:bCs/>
          <w:sz w:val="22"/>
          <w:lang w:bidi="ar-SA"/>
        </w:rPr>
        <w:t xml:space="preserve">(in the school/classroom) </w:t>
      </w:r>
      <w:bookmarkEnd w:id="15"/>
      <w:r w:rsidRPr="000216D6">
        <w:rPr>
          <w:rFonts w:ascii="Gadugi" w:hAnsi="Gadugi"/>
          <w:b/>
          <w:bCs/>
          <w:sz w:val="22"/>
          <w:lang w:bidi="ar-SA"/>
        </w:rPr>
        <w:t xml:space="preserve">or use of an idea, policy and/or law </w:t>
      </w:r>
    </w:p>
    <w:p w14:paraId="14C8FEB7" w14:textId="77777777" w:rsidR="000216D6" w:rsidRPr="000216D6" w:rsidRDefault="000216D6" w:rsidP="000216D6">
      <w:pPr>
        <w:numPr>
          <w:ilvl w:val="0"/>
          <w:numId w:val="10"/>
        </w:numPr>
        <w:spacing w:after="0" w:line="240" w:lineRule="auto"/>
        <w:contextualSpacing/>
        <w:jc w:val="both"/>
        <w:rPr>
          <w:rFonts w:ascii="Gadugi" w:hAnsi="Gadugi"/>
          <w:sz w:val="22"/>
          <w:lang w:bidi="ar-SA"/>
        </w:rPr>
      </w:pPr>
      <w:r w:rsidRPr="000216D6">
        <w:rPr>
          <w:rFonts w:ascii="Gadugi" w:hAnsi="Gadugi"/>
          <w:sz w:val="22"/>
          <w:lang w:bidi="ar-SA"/>
        </w:rPr>
        <w:t>is a term used for a law firm (law practice)</w:t>
      </w:r>
    </w:p>
    <w:p w14:paraId="7DE0790F"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b/>
          <w:bCs/>
          <w:sz w:val="22"/>
          <w:lang w:bidi="ar-SA"/>
        </w:rPr>
        <w:t>Explanation</w:t>
      </w:r>
      <w:r w:rsidRPr="000216D6">
        <w:rPr>
          <w:rFonts w:ascii="Gadugi" w:hAnsi="Gadugi"/>
          <w:sz w:val="22"/>
          <w:lang w:bidi="ar-SA"/>
        </w:rPr>
        <w:t xml:space="preserve"> – Policies plan what an organisation/government wants to do; practices are ‘how’ they are going to do it.  Myanmar’s NESP (2011-2016) linked to the TCSF provides examples.</w:t>
      </w:r>
    </w:p>
    <w:p w14:paraId="279138B3" w14:textId="77777777" w:rsidR="000216D6" w:rsidRPr="000216D6" w:rsidRDefault="000216D6" w:rsidP="000216D6">
      <w:pPr>
        <w:spacing w:after="0" w:line="240" w:lineRule="auto"/>
        <w:jc w:val="both"/>
        <w:rPr>
          <w:rFonts w:ascii="Gadugi" w:hAnsi="Gadugi"/>
          <w:sz w:val="22"/>
          <w:lang w:bidi="ar-SA"/>
        </w:rPr>
      </w:pPr>
    </w:p>
    <w:p w14:paraId="0938F56F" w14:textId="77777777" w:rsidR="000216D6" w:rsidRPr="000216D6" w:rsidRDefault="000216D6" w:rsidP="000216D6">
      <w:pPr>
        <w:spacing w:after="0" w:line="240" w:lineRule="auto"/>
        <w:jc w:val="both"/>
        <w:rPr>
          <w:rFonts w:ascii="Gadugi" w:hAnsi="Gadugi"/>
          <w:sz w:val="22"/>
          <w:lang w:bidi="ar-SA"/>
        </w:rPr>
      </w:pPr>
    </w:p>
    <w:p w14:paraId="692C64F6"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sz w:val="22"/>
          <w:lang w:bidi="ar-SA"/>
        </w:rPr>
        <w:t>Q5 – Which SDG is linked specifically to ‘quality education’</w:t>
      </w:r>
    </w:p>
    <w:p w14:paraId="672A0FB3" w14:textId="77777777" w:rsidR="000216D6" w:rsidRPr="000216D6" w:rsidRDefault="000216D6" w:rsidP="000216D6">
      <w:pPr>
        <w:numPr>
          <w:ilvl w:val="0"/>
          <w:numId w:val="11"/>
        </w:numPr>
        <w:spacing w:after="0" w:line="240" w:lineRule="auto"/>
        <w:contextualSpacing/>
        <w:jc w:val="both"/>
        <w:rPr>
          <w:rFonts w:ascii="Gadugi" w:hAnsi="Gadugi"/>
          <w:sz w:val="22"/>
          <w:lang w:bidi="ar-SA"/>
        </w:rPr>
      </w:pPr>
      <w:r w:rsidRPr="000216D6">
        <w:rPr>
          <w:rFonts w:ascii="Gadugi" w:hAnsi="Gadugi"/>
          <w:sz w:val="22"/>
          <w:lang w:bidi="ar-SA"/>
        </w:rPr>
        <w:t>SDG 1</w:t>
      </w:r>
    </w:p>
    <w:p w14:paraId="53A93A2A" w14:textId="77777777" w:rsidR="000216D6" w:rsidRPr="000216D6" w:rsidRDefault="000216D6" w:rsidP="000216D6">
      <w:pPr>
        <w:numPr>
          <w:ilvl w:val="0"/>
          <w:numId w:val="11"/>
        </w:numPr>
        <w:spacing w:after="0" w:line="240" w:lineRule="auto"/>
        <w:contextualSpacing/>
        <w:jc w:val="both"/>
        <w:rPr>
          <w:rFonts w:ascii="Gadugi" w:hAnsi="Gadugi"/>
          <w:sz w:val="22"/>
          <w:lang w:bidi="ar-SA"/>
        </w:rPr>
      </w:pPr>
      <w:r w:rsidRPr="000216D6">
        <w:rPr>
          <w:rFonts w:ascii="Gadugi" w:hAnsi="Gadugi"/>
          <w:sz w:val="22"/>
          <w:lang w:bidi="ar-SA"/>
        </w:rPr>
        <w:t>SDG 5</w:t>
      </w:r>
    </w:p>
    <w:p w14:paraId="1E294BEE" w14:textId="77777777" w:rsidR="000216D6" w:rsidRPr="000216D6" w:rsidRDefault="000216D6" w:rsidP="000216D6">
      <w:pPr>
        <w:numPr>
          <w:ilvl w:val="0"/>
          <w:numId w:val="11"/>
        </w:numPr>
        <w:spacing w:after="0" w:line="240" w:lineRule="auto"/>
        <w:contextualSpacing/>
        <w:jc w:val="both"/>
        <w:rPr>
          <w:rFonts w:ascii="Gadugi" w:hAnsi="Gadugi"/>
          <w:sz w:val="22"/>
          <w:lang w:bidi="ar-SA"/>
        </w:rPr>
      </w:pPr>
      <w:r w:rsidRPr="000216D6">
        <w:rPr>
          <w:rFonts w:ascii="Gadugi" w:hAnsi="Gadugi"/>
          <w:sz w:val="22"/>
          <w:lang w:bidi="ar-SA"/>
        </w:rPr>
        <w:t>SDG 10</w:t>
      </w:r>
    </w:p>
    <w:p w14:paraId="3152A7CD" w14:textId="77777777" w:rsidR="000216D6" w:rsidRPr="000216D6" w:rsidRDefault="000216D6" w:rsidP="000216D6">
      <w:pPr>
        <w:numPr>
          <w:ilvl w:val="0"/>
          <w:numId w:val="11"/>
        </w:numPr>
        <w:spacing w:after="0" w:line="240" w:lineRule="auto"/>
        <w:contextualSpacing/>
        <w:jc w:val="both"/>
        <w:rPr>
          <w:rFonts w:ascii="Gadugi" w:hAnsi="Gadugi"/>
          <w:b/>
          <w:bCs/>
          <w:sz w:val="22"/>
          <w:lang w:bidi="ar-SA"/>
        </w:rPr>
      </w:pPr>
      <w:r w:rsidRPr="000216D6">
        <w:rPr>
          <w:rFonts w:ascii="Gadugi" w:hAnsi="Gadugi"/>
          <w:b/>
          <w:bCs/>
          <w:sz w:val="22"/>
          <w:lang w:bidi="ar-SA"/>
        </w:rPr>
        <w:t>SDG 4</w:t>
      </w:r>
    </w:p>
    <w:p w14:paraId="4AFC421B" w14:textId="77777777" w:rsidR="000216D6" w:rsidRPr="000216D6" w:rsidRDefault="000216D6" w:rsidP="000216D6">
      <w:pPr>
        <w:spacing w:after="0" w:line="240" w:lineRule="auto"/>
        <w:contextualSpacing/>
        <w:jc w:val="both"/>
        <w:rPr>
          <w:rFonts w:ascii="Gadugi" w:hAnsi="Gadugi"/>
          <w:sz w:val="22"/>
          <w:lang w:bidi="ar-SA"/>
        </w:rPr>
      </w:pPr>
      <w:r w:rsidRPr="000216D6">
        <w:rPr>
          <w:rFonts w:ascii="Gadugi" w:hAnsi="Gadugi"/>
          <w:b/>
          <w:bCs/>
          <w:sz w:val="22"/>
          <w:lang w:bidi="ar-SA"/>
        </w:rPr>
        <w:t xml:space="preserve">Explanation – </w:t>
      </w:r>
      <w:r w:rsidRPr="000216D6">
        <w:rPr>
          <w:rFonts w:ascii="Gadugi" w:hAnsi="Gadugi"/>
          <w:sz w:val="22"/>
          <w:lang w:bidi="ar-SA"/>
        </w:rPr>
        <w:t>Sustainable Development Goal 4 is linked specifically in improving the quality of education internationally.</w:t>
      </w:r>
    </w:p>
    <w:p w14:paraId="4A80EF75" w14:textId="77777777" w:rsidR="000216D6" w:rsidRPr="000216D6" w:rsidRDefault="000216D6" w:rsidP="000216D6">
      <w:pPr>
        <w:spacing w:after="0" w:line="240" w:lineRule="auto"/>
        <w:jc w:val="both"/>
        <w:rPr>
          <w:rFonts w:ascii="Gadugi" w:hAnsi="Gadugi"/>
          <w:sz w:val="22"/>
          <w:lang w:bidi="ar-SA"/>
        </w:rPr>
      </w:pPr>
    </w:p>
    <w:p w14:paraId="4F6F39B0" w14:textId="77777777" w:rsidR="000216D6" w:rsidRPr="000216D6" w:rsidRDefault="000216D6" w:rsidP="000216D6">
      <w:pPr>
        <w:spacing w:after="0" w:line="240" w:lineRule="auto"/>
        <w:jc w:val="both"/>
        <w:rPr>
          <w:rFonts w:ascii="Gadugi" w:hAnsi="Gadugi"/>
          <w:sz w:val="22"/>
          <w:lang w:bidi="ar-SA"/>
        </w:rPr>
      </w:pPr>
    </w:p>
    <w:p w14:paraId="7904FB23"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sz w:val="22"/>
          <w:lang w:bidi="ar-SA"/>
        </w:rPr>
        <w:lastRenderedPageBreak/>
        <w:t>Q6 – Which international policies and laws effect inclusive practice worldwide (choose three)</w:t>
      </w:r>
    </w:p>
    <w:p w14:paraId="4F2364A0" w14:textId="77777777" w:rsidR="000216D6" w:rsidRPr="000216D6" w:rsidRDefault="000216D6" w:rsidP="000216D6">
      <w:pPr>
        <w:numPr>
          <w:ilvl w:val="0"/>
          <w:numId w:val="12"/>
        </w:numPr>
        <w:spacing w:after="0" w:line="240" w:lineRule="auto"/>
        <w:contextualSpacing/>
        <w:jc w:val="both"/>
        <w:rPr>
          <w:rFonts w:ascii="Gadugi" w:hAnsi="Gadugi"/>
          <w:sz w:val="22"/>
          <w:lang w:bidi="ar-SA"/>
        </w:rPr>
      </w:pPr>
      <w:r w:rsidRPr="000216D6">
        <w:rPr>
          <w:rFonts w:ascii="Gadugi" w:hAnsi="Gadugi"/>
          <w:sz w:val="22"/>
          <w:lang w:bidi="ar-SA"/>
        </w:rPr>
        <w:t>Geneva Convention 1949</w:t>
      </w:r>
    </w:p>
    <w:p w14:paraId="1BD83228" w14:textId="77777777" w:rsidR="000216D6" w:rsidRPr="000216D6" w:rsidRDefault="000216D6" w:rsidP="000216D6">
      <w:pPr>
        <w:numPr>
          <w:ilvl w:val="0"/>
          <w:numId w:val="12"/>
        </w:numPr>
        <w:spacing w:after="0" w:line="240" w:lineRule="auto"/>
        <w:contextualSpacing/>
        <w:jc w:val="both"/>
        <w:rPr>
          <w:rFonts w:ascii="Gadugi" w:hAnsi="Gadugi"/>
          <w:sz w:val="22"/>
          <w:lang w:bidi="ar-SA"/>
        </w:rPr>
      </w:pPr>
      <w:r w:rsidRPr="000216D6">
        <w:rPr>
          <w:rFonts w:ascii="Gadugi" w:hAnsi="Gadugi"/>
          <w:b/>
          <w:bCs/>
          <w:sz w:val="22"/>
          <w:lang w:bidi="ar-SA"/>
        </w:rPr>
        <w:t>United Nations Convention on the Rights of Persons with Disabilities (2016)</w:t>
      </w:r>
      <w:r w:rsidRPr="000216D6">
        <w:rPr>
          <w:rFonts w:ascii="Gadugi" w:hAnsi="Gadugi"/>
          <w:sz w:val="22"/>
          <w:lang w:bidi="ar-SA"/>
        </w:rPr>
        <w:t xml:space="preserve">.  </w:t>
      </w:r>
    </w:p>
    <w:p w14:paraId="5008EED0" w14:textId="77777777" w:rsidR="000216D6" w:rsidRPr="000216D6" w:rsidRDefault="000216D6" w:rsidP="000216D6">
      <w:pPr>
        <w:numPr>
          <w:ilvl w:val="0"/>
          <w:numId w:val="12"/>
        </w:numPr>
        <w:spacing w:after="0" w:line="240" w:lineRule="auto"/>
        <w:contextualSpacing/>
        <w:jc w:val="both"/>
        <w:rPr>
          <w:rFonts w:ascii="Gadugi" w:hAnsi="Gadugi"/>
          <w:sz w:val="22"/>
          <w:lang w:bidi="ar-SA"/>
        </w:rPr>
      </w:pPr>
      <w:r w:rsidRPr="000216D6">
        <w:rPr>
          <w:rFonts w:ascii="Gadugi" w:hAnsi="Gadugi"/>
          <w:sz w:val="22"/>
          <w:lang w:bidi="ar-SA"/>
        </w:rPr>
        <w:t>Myanmar National Education Law 2014</w:t>
      </w:r>
    </w:p>
    <w:p w14:paraId="01BE89F1" w14:textId="77777777" w:rsidR="000216D6" w:rsidRPr="000216D6" w:rsidRDefault="000216D6" w:rsidP="000216D6">
      <w:pPr>
        <w:numPr>
          <w:ilvl w:val="0"/>
          <w:numId w:val="12"/>
        </w:numPr>
        <w:spacing w:after="0" w:line="240" w:lineRule="auto"/>
        <w:contextualSpacing/>
        <w:jc w:val="both"/>
        <w:rPr>
          <w:rFonts w:ascii="Gadugi" w:hAnsi="Gadugi"/>
          <w:b/>
          <w:bCs/>
          <w:sz w:val="22"/>
          <w:lang w:bidi="ar-SA"/>
        </w:rPr>
      </w:pPr>
      <w:r w:rsidRPr="000216D6">
        <w:rPr>
          <w:rFonts w:ascii="Gadugi" w:hAnsi="Gadugi"/>
          <w:b/>
          <w:bCs/>
          <w:sz w:val="22"/>
          <w:lang w:bidi="ar-SA"/>
        </w:rPr>
        <w:t>Sustainable Development Goals</w:t>
      </w:r>
    </w:p>
    <w:p w14:paraId="05BE9701" w14:textId="77777777" w:rsidR="000216D6" w:rsidRPr="000216D6" w:rsidRDefault="000216D6" w:rsidP="000216D6">
      <w:pPr>
        <w:numPr>
          <w:ilvl w:val="0"/>
          <w:numId w:val="12"/>
        </w:numPr>
        <w:spacing w:after="0" w:line="240" w:lineRule="auto"/>
        <w:contextualSpacing/>
        <w:jc w:val="both"/>
        <w:rPr>
          <w:rFonts w:ascii="Gadugi" w:hAnsi="Gadugi"/>
          <w:sz w:val="22"/>
          <w:lang w:bidi="ar-SA"/>
        </w:rPr>
      </w:pPr>
      <w:r w:rsidRPr="000216D6">
        <w:rPr>
          <w:rFonts w:ascii="Gadugi" w:hAnsi="Gadugi"/>
          <w:b/>
          <w:bCs/>
          <w:sz w:val="22"/>
          <w:lang w:bidi="ar-SA"/>
        </w:rPr>
        <w:t>United Nations Convention on the Rights of Persons with Disabilities (signed 2011</w:t>
      </w:r>
      <w:r w:rsidRPr="000216D6">
        <w:rPr>
          <w:rFonts w:ascii="Gadugi" w:hAnsi="Gadugi"/>
          <w:sz w:val="22"/>
          <w:lang w:bidi="ar-SA"/>
        </w:rPr>
        <w:t>)</w:t>
      </w:r>
    </w:p>
    <w:p w14:paraId="7BB3BA88" w14:textId="77777777" w:rsidR="000216D6" w:rsidRPr="000216D6" w:rsidRDefault="000216D6" w:rsidP="000216D6">
      <w:pPr>
        <w:spacing w:after="0" w:line="240" w:lineRule="auto"/>
        <w:contextualSpacing/>
        <w:jc w:val="both"/>
        <w:rPr>
          <w:rFonts w:ascii="Gadugi" w:hAnsi="Gadugi"/>
          <w:sz w:val="22"/>
          <w:lang w:bidi="ar-SA"/>
        </w:rPr>
      </w:pPr>
      <w:r w:rsidRPr="000216D6">
        <w:rPr>
          <w:rFonts w:ascii="Gadugi" w:hAnsi="Gadugi"/>
          <w:b/>
          <w:bCs/>
          <w:sz w:val="22"/>
          <w:lang w:bidi="ar-SA"/>
        </w:rPr>
        <w:t>Explanation</w:t>
      </w:r>
      <w:r w:rsidRPr="000216D6">
        <w:rPr>
          <w:rFonts w:ascii="Gadugi" w:hAnsi="Gadugi"/>
          <w:sz w:val="22"/>
          <w:lang w:bidi="ar-SA"/>
        </w:rPr>
        <w:t xml:space="preserve"> – </w:t>
      </w:r>
      <w:bookmarkStart w:id="16" w:name="_Hlk89421394"/>
      <w:r w:rsidRPr="000216D6">
        <w:rPr>
          <w:rFonts w:ascii="Gadugi" w:hAnsi="Gadugi"/>
          <w:sz w:val="22"/>
          <w:lang w:bidi="ar-SA"/>
        </w:rPr>
        <w:t xml:space="preserve">The Geneva convention 1949 relates to the treatment of captured and wounded military personnel. </w:t>
      </w:r>
      <w:bookmarkEnd w:id="16"/>
      <w:r w:rsidRPr="000216D6">
        <w:rPr>
          <w:rFonts w:ascii="Gadugi" w:hAnsi="Gadugi"/>
          <w:sz w:val="22"/>
          <w:lang w:bidi="ar-SA"/>
        </w:rPr>
        <w:t>The Myanmar National Education Law 2014 is a national, not an international policy.</w:t>
      </w:r>
    </w:p>
    <w:p w14:paraId="3907FAF1" w14:textId="77777777" w:rsidR="000216D6" w:rsidRPr="000216D6" w:rsidRDefault="000216D6" w:rsidP="000216D6">
      <w:pPr>
        <w:spacing w:after="0" w:line="240" w:lineRule="auto"/>
        <w:jc w:val="both"/>
        <w:rPr>
          <w:rFonts w:ascii="Gadugi" w:hAnsi="Gadugi"/>
          <w:sz w:val="22"/>
          <w:lang w:bidi="ar-SA"/>
        </w:rPr>
      </w:pPr>
    </w:p>
    <w:p w14:paraId="0232D0BD" w14:textId="77777777" w:rsidR="000216D6" w:rsidRPr="000216D6" w:rsidRDefault="000216D6" w:rsidP="000216D6">
      <w:pPr>
        <w:spacing w:after="0" w:line="240" w:lineRule="auto"/>
        <w:jc w:val="both"/>
        <w:rPr>
          <w:rFonts w:ascii="Gadugi" w:hAnsi="Gadugi"/>
          <w:sz w:val="22"/>
          <w:lang w:bidi="ar-SA"/>
        </w:rPr>
      </w:pPr>
    </w:p>
    <w:p w14:paraId="727E8653" w14:textId="77777777" w:rsidR="000216D6" w:rsidRPr="000216D6" w:rsidRDefault="000216D6" w:rsidP="000216D6">
      <w:pPr>
        <w:spacing w:after="0" w:line="240" w:lineRule="auto"/>
        <w:jc w:val="both"/>
        <w:rPr>
          <w:rFonts w:ascii="Gadugi" w:hAnsi="Gadugi"/>
          <w:sz w:val="22"/>
          <w:lang w:bidi="ar-SA"/>
        </w:rPr>
      </w:pPr>
      <w:r w:rsidRPr="000216D6">
        <w:rPr>
          <w:rFonts w:ascii="Gadugi" w:hAnsi="Gadugi"/>
          <w:sz w:val="22"/>
          <w:lang w:bidi="ar-SA"/>
        </w:rPr>
        <w:t>Q7 – Which three national laws and one policy effect inclusive practice in Myanmar? (choose 4)</w:t>
      </w:r>
    </w:p>
    <w:p w14:paraId="7AF409AC" w14:textId="77777777" w:rsidR="000216D6" w:rsidRPr="000216D6" w:rsidRDefault="000216D6" w:rsidP="000216D6">
      <w:pPr>
        <w:numPr>
          <w:ilvl w:val="0"/>
          <w:numId w:val="14"/>
        </w:numPr>
        <w:spacing w:after="0" w:line="240" w:lineRule="auto"/>
        <w:contextualSpacing/>
        <w:jc w:val="both"/>
        <w:rPr>
          <w:rFonts w:ascii="Gadugi" w:hAnsi="Gadugi"/>
          <w:sz w:val="22"/>
          <w:lang w:bidi="ar-SA"/>
        </w:rPr>
      </w:pPr>
      <w:r w:rsidRPr="000216D6">
        <w:rPr>
          <w:rFonts w:ascii="Gadugi" w:hAnsi="Gadugi"/>
          <w:sz w:val="22"/>
          <w:lang w:bidi="ar-SA"/>
        </w:rPr>
        <w:t>Myanmar International Education Law 2014</w:t>
      </w:r>
    </w:p>
    <w:p w14:paraId="7F24156D" w14:textId="77777777" w:rsidR="000216D6" w:rsidRPr="000216D6" w:rsidRDefault="000216D6" w:rsidP="000216D6">
      <w:pPr>
        <w:numPr>
          <w:ilvl w:val="0"/>
          <w:numId w:val="14"/>
        </w:numPr>
        <w:spacing w:after="0" w:line="240" w:lineRule="auto"/>
        <w:contextualSpacing/>
        <w:jc w:val="both"/>
        <w:rPr>
          <w:rFonts w:ascii="Gadugi" w:hAnsi="Gadugi"/>
          <w:sz w:val="22"/>
          <w:lang w:bidi="ar-SA"/>
        </w:rPr>
      </w:pPr>
      <w:r w:rsidRPr="000216D6">
        <w:rPr>
          <w:rFonts w:ascii="Gadugi" w:hAnsi="Gadugi"/>
          <w:sz w:val="22"/>
          <w:lang w:bidi="ar-SA"/>
        </w:rPr>
        <w:t>Geneva Convention 1949</w:t>
      </w:r>
    </w:p>
    <w:p w14:paraId="2656DFE0" w14:textId="77777777" w:rsidR="000216D6" w:rsidRPr="000216D6" w:rsidRDefault="000216D6" w:rsidP="000216D6">
      <w:pPr>
        <w:numPr>
          <w:ilvl w:val="0"/>
          <w:numId w:val="14"/>
        </w:numPr>
        <w:spacing w:after="0" w:line="240" w:lineRule="auto"/>
        <w:contextualSpacing/>
        <w:jc w:val="both"/>
        <w:rPr>
          <w:rFonts w:ascii="Gadugi" w:hAnsi="Gadugi"/>
          <w:b/>
          <w:bCs/>
          <w:sz w:val="22"/>
          <w:lang w:bidi="ar-SA"/>
        </w:rPr>
      </w:pPr>
      <w:r w:rsidRPr="000216D6">
        <w:rPr>
          <w:rFonts w:ascii="Gadugi" w:hAnsi="Gadugi"/>
          <w:b/>
          <w:bCs/>
          <w:sz w:val="22"/>
          <w:lang w:bidi="ar-SA"/>
        </w:rPr>
        <w:t>National Disability Law 2015</w:t>
      </w:r>
    </w:p>
    <w:p w14:paraId="6DD74FCA" w14:textId="77777777" w:rsidR="000216D6" w:rsidRPr="000216D6" w:rsidRDefault="000216D6" w:rsidP="000216D6">
      <w:pPr>
        <w:numPr>
          <w:ilvl w:val="0"/>
          <w:numId w:val="14"/>
        </w:numPr>
        <w:spacing w:after="0" w:line="240" w:lineRule="auto"/>
        <w:contextualSpacing/>
        <w:jc w:val="both"/>
        <w:rPr>
          <w:rFonts w:ascii="Gadugi" w:hAnsi="Gadugi"/>
          <w:b/>
          <w:bCs/>
          <w:sz w:val="22"/>
          <w:lang w:bidi="ar-SA"/>
        </w:rPr>
      </w:pPr>
      <w:r w:rsidRPr="000216D6">
        <w:rPr>
          <w:rFonts w:ascii="Gadugi" w:hAnsi="Gadugi"/>
          <w:b/>
          <w:bCs/>
          <w:sz w:val="22"/>
          <w:lang w:bidi="ar-SA"/>
        </w:rPr>
        <w:t>Myanmar National Education Law 2014</w:t>
      </w:r>
    </w:p>
    <w:p w14:paraId="781CFA28" w14:textId="77777777" w:rsidR="000216D6" w:rsidRPr="000216D6" w:rsidRDefault="000216D6" w:rsidP="000216D6">
      <w:pPr>
        <w:numPr>
          <w:ilvl w:val="0"/>
          <w:numId w:val="14"/>
        </w:numPr>
        <w:spacing w:after="0" w:line="240" w:lineRule="auto"/>
        <w:contextualSpacing/>
        <w:jc w:val="both"/>
        <w:rPr>
          <w:rFonts w:ascii="Gadugi" w:hAnsi="Gadugi"/>
          <w:b/>
          <w:bCs/>
          <w:sz w:val="22"/>
          <w:lang w:bidi="ar-SA"/>
        </w:rPr>
      </w:pPr>
      <w:r w:rsidRPr="000216D6">
        <w:rPr>
          <w:rFonts w:ascii="Gadugi" w:hAnsi="Gadugi"/>
          <w:b/>
          <w:bCs/>
          <w:sz w:val="22"/>
          <w:lang w:bidi="ar-SA"/>
        </w:rPr>
        <w:t>Child Rights law 2019</w:t>
      </w:r>
    </w:p>
    <w:p w14:paraId="0AB5C174" w14:textId="77777777" w:rsidR="000216D6" w:rsidRPr="000216D6" w:rsidRDefault="000216D6" w:rsidP="000216D6">
      <w:pPr>
        <w:numPr>
          <w:ilvl w:val="0"/>
          <w:numId w:val="14"/>
        </w:numPr>
        <w:spacing w:after="0" w:line="240" w:lineRule="auto"/>
        <w:contextualSpacing/>
        <w:jc w:val="both"/>
        <w:rPr>
          <w:rFonts w:ascii="Gadugi" w:hAnsi="Gadugi"/>
          <w:b/>
          <w:bCs/>
          <w:sz w:val="22"/>
          <w:lang w:bidi="ar-SA"/>
        </w:rPr>
      </w:pPr>
      <w:r w:rsidRPr="000216D6">
        <w:rPr>
          <w:rFonts w:ascii="Gadugi" w:hAnsi="Gadugi"/>
          <w:b/>
          <w:bCs/>
          <w:sz w:val="22"/>
          <w:lang w:bidi="ar-SA"/>
        </w:rPr>
        <w:t xml:space="preserve">Myanmar Teacher Competency Standards Framework 2020  </w:t>
      </w:r>
    </w:p>
    <w:p w14:paraId="79CB286C" w14:textId="77777777" w:rsidR="000216D6" w:rsidRPr="000216D6" w:rsidRDefault="000216D6" w:rsidP="000216D6">
      <w:pPr>
        <w:spacing w:after="0" w:line="240" w:lineRule="auto"/>
        <w:contextualSpacing/>
        <w:jc w:val="both"/>
        <w:rPr>
          <w:rFonts w:ascii="Gadugi" w:hAnsi="Gadugi"/>
          <w:sz w:val="22"/>
          <w:lang w:bidi="ar-SA"/>
        </w:rPr>
      </w:pPr>
      <w:r w:rsidRPr="000216D6">
        <w:rPr>
          <w:rFonts w:ascii="Gadugi" w:hAnsi="Gadugi"/>
          <w:b/>
          <w:bCs/>
          <w:sz w:val="22"/>
          <w:lang w:bidi="ar-SA"/>
        </w:rPr>
        <w:t xml:space="preserve">Explanation – </w:t>
      </w:r>
      <w:r w:rsidRPr="000216D6">
        <w:rPr>
          <w:rFonts w:ascii="Gadugi" w:hAnsi="Gadugi"/>
          <w:sz w:val="22"/>
          <w:lang w:bidi="ar-SA"/>
        </w:rPr>
        <w:t>The Myanmar International Education Law 2014 is not correct as it is not a law and it states ‘international’ in its title. The Geneva convention 1949 relates to the treatment of captured and wounded military personnel. The other four are linked to Myanmar and stem from international policy.</w:t>
      </w:r>
    </w:p>
    <w:bookmarkEnd w:id="11"/>
    <w:p w14:paraId="3DD7D90E" w14:textId="6E39DC3E" w:rsidR="00BA5AC1" w:rsidRPr="00BA5AC1" w:rsidRDefault="00BA5AC1" w:rsidP="00094863">
      <w:pPr>
        <w:spacing w:after="0" w:line="240" w:lineRule="auto"/>
        <w:contextualSpacing/>
        <w:jc w:val="both"/>
        <w:rPr>
          <w:rFonts w:ascii="Gadugi" w:hAnsi="Gadugi"/>
          <w:sz w:val="22"/>
          <w:lang w:bidi="ar-SA"/>
        </w:rPr>
      </w:pPr>
      <w:r w:rsidRPr="00BA5AC1">
        <w:rPr>
          <w:rFonts w:ascii="Gadugi" w:hAnsi="Gadugi"/>
          <w:sz w:val="22"/>
          <w:lang w:bidi="ar-SA"/>
        </w:rPr>
        <w:t>.</w:t>
      </w:r>
    </w:p>
    <w:p w14:paraId="6EBC6A23" w14:textId="77777777" w:rsidR="00C863D7" w:rsidRPr="004D24A7" w:rsidRDefault="00C863D7" w:rsidP="00B7482C">
      <w:pPr>
        <w:shd w:val="clear" w:color="auto" w:fill="FFFFFF"/>
        <w:spacing w:after="100" w:afterAutospacing="1" w:line="240" w:lineRule="auto"/>
        <w:rPr>
          <w:rFonts w:eastAsia="Times New Roman" w:cstheme="minorHAnsi"/>
          <w:b/>
          <w:color w:val="4472C4" w:themeColor="accent1"/>
          <w:szCs w:val="24"/>
          <w:lang w:val="en-GB" w:eastAsia="ja-JP" w:bidi="ar-SA"/>
        </w:rPr>
      </w:pPr>
    </w:p>
    <w:sectPr w:rsidR="00C863D7" w:rsidRPr="004D24A7" w:rsidSect="00EC637C">
      <w:headerReference w:type="default" r:id="rId12"/>
      <w:footerReference w:type="default" r:id="rId13"/>
      <w:headerReference w:type="first" r:id="rId14"/>
      <w:footerReference w:type="first" r:id="rId15"/>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6E9A" w14:textId="77777777" w:rsidR="00782593" w:rsidRDefault="00782593" w:rsidP="00544519">
      <w:pPr>
        <w:spacing w:after="0" w:line="240" w:lineRule="auto"/>
      </w:pPr>
      <w:r>
        <w:separator/>
      </w:r>
    </w:p>
  </w:endnote>
  <w:endnote w:type="continuationSeparator" w:id="0">
    <w:p w14:paraId="2A108298" w14:textId="77777777" w:rsidR="00782593" w:rsidRDefault="00782593"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836765" w:rsidRDefault="00836765">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3D671D" w:rsidRDefault="003D6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4A0F05" w:rsidRDefault="00AE2CB9"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8C11" w14:textId="77777777" w:rsidR="00782593" w:rsidRDefault="00782593" w:rsidP="00544519">
      <w:pPr>
        <w:spacing w:after="0" w:line="240" w:lineRule="auto"/>
      </w:pPr>
      <w:r>
        <w:separator/>
      </w:r>
    </w:p>
  </w:footnote>
  <w:footnote w:type="continuationSeparator" w:id="0">
    <w:p w14:paraId="5F50DF6F" w14:textId="77777777" w:rsidR="00782593" w:rsidRDefault="00782593"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696088" w:rsidRDefault="00696088" w:rsidP="00AE2CB9">
    <w:pPr>
      <w:pStyle w:val="Heading1"/>
    </w:pPr>
  </w:p>
  <w:p w14:paraId="2EE7B192" w14:textId="717109F0" w:rsidR="00696088" w:rsidRDefault="00696088" w:rsidP="00696088">
    <w:pPr>
      <w:pStyle w:val="Header"/>
    </w:pPr>
  </w:p>
  <w:p w14:paraId="4BEFA119" w14:textId="123C91F2" w:rsidR="00696088" w:rsidRDefault="00696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AE2CB9" w:rsidRDefault="003A4920"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E2CB9" w:rsidRPr="004A0F05" w:rsidRDefault="00AE2CB9"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E2CB9" w:rsidRPr="004A0F05" w:rsidRDefault="00AE2CB9" w:rsidP="00AE2CB9">
                    <w:pPr>
                      <w:rPr>
                        <w:b/>
                        <w:bCs/>
                      </w:rPr>
                    </w:pPr>
                    <w:r w:rsidRPr="004A0F05">
                      <w:rPr>
                        <w:b/>
                        <w:bCs/>
                      </w:rPr>
                      <w:t>Funded by:</w:t>
                    </w:r>
                  </w:p>
                </w:txbxContent>
              </v:textbox>
              <w10:wrap anchorx="margin"/>
            </v:shape>
          </w:pict>
        </mc:Fallback>
      </mc:AlternateContent>
    </w:r>
  </w:p>
  <w:p w14:paraId="4FE72324" w14:textId="5872D38C" w:rsidR="00AE2CB9" w:rsidRDefault="00AE2CB9" w:rsidP="00AE2CB9">
    <w:pPr>
      <w:pStyle w:val="Header"/>
    </w:pPr>
  </w:p>
  <w:p w14:paraId="713C044D" w14:textId="77777777" w:rsidR="00AE2CB9" w:rsidRDefault="00AE2CB9" w:rsidP="00AE2CB9">
    <w:pPr>
      <w:pStyle w:val="Header"/>
    </w:pPr>
  </w:p>
  <w:p w14:paraId="24DE8ED9" w14:textId="567FCB22" w:rsidR="004A0F05" w:rsidRPr="00AE2CB9" w:rsidRDefault="004A0F05"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3108"/>
    <w:multiLevelType w:val="multilevel"/>
    <w:tmpl w:val="A5ECF694"/>
    <w:lvl w:ilvl="0">
      <w:start w:val="1"/>
      <w:numFmt w:val="decimal"/>
      <w:lvlText w:val="%1."/>
      <w:lvlJc w:val="left"/>
      <w:pPr>
        <w:ind w:left="360" w:hanging="360"/>
      </w:pPr>
      <w:rPr>
        <w:color w:val="auto"/>
      </w:rPr>
    </w:lvl>
    <w:lvl w:ilvl="1">
      <w:start w:val="1"/>
      <w:numFmt w:val="decimal"/>
      <w:isLgl/>
      <w:lvlText w:val="%1.%2"/>
      <w:lvlJc w:val="left"/>
      <w:pPr>
        <w:ind w:left="360" w:hanging="360"/>
      </w:pPr>
      <w:rPr>
        <w:rFonts w:ascii="Gadugi" w:hAnsi="Gadugi" w:hint="default"/>
        <w:b w:val="0"/>
        <w:color w:val="2F5496" w:themeColor="accent1" w:themeShade="BF"/>
        <w:sz w:val="26"/>
      </w:rPr>
    </w:lvl>
    <w:lvl w:ilvl="2">
      <w:start w:val="1"/>
      <w:numFmt w:val="decimal"/>
      <w:isLgl/>
      <w:lvlText w:val="%1.%2.%3"/>
      <w:lvlJc w:val="left"/>
      <w:pPr>
        <w:ind w:left="720" w:hanging="720"/>
      </w:pPr>
      <w:rPr>
        <w:rFonts w:ascii="Gadugi" w:hAnsi="Gadugi" w:hint="default"/>
        <w:b w:val="0"/>
        <w:color w:val="2F5496" w:themeColor="accent1" w:themeShade="BF"/>
        <w:sz w:val="26"/>
      </w:rPr>
    </w:lvl>
    <w:lvl w:ilvl="3">
      <w:start w:val="1"/>
      <w:numFmt w:val="decimal"/>
      <w:isLgl/>
      <w:lvlText w:val="%1.%2.%3.%4"/>
      <w:lvlJc w:val="left"/>
      <w:pPr>
        <w:ind w:left="720" w:hanging="720"/>
      </w:pPr>
      <w:rPr>
        <w:rFonts w:ascii="Gadugi" w:hAnsi="Gadugi" w:hint="default"/>
        <w:b w:val="0"/>
        <w:color w:val="2F5496" w:themeColor="accent1" w:themeShade="BF"/>
        <w:sz w:val="26"/>
      </w:rPr>
    </w:lvl>
    <w:lvl w:ilvl="4">
      <w:start w:val="1"/>
      <w:numFmt w:val="decimal"/>
      <w:isLgl/>
      <w:lvlText w:val="%1.%2.%3.%4.%5"/>
      <w:lvlJc w:val="left"/>
      <w:pPr>
        <w:ind w:left="1080" w:hanging="1080"/>
      </w:pPr>
      <w:rPr>
        <w:rFonts w:ascii="Gadugi" w:hAnsi="Gadugi" w:hint="default"/>
        <w:b w:val="0"/>
        <w:color w:val="2F5496" w:themeColor="accent1" w:themeShade="BF"/>
        <w:sz w:val="26"/>
      </w:rPr>
    </w:lvl>
    <w:lvl w:ilvl="5">
      <w:start w:val="1"/>
      <w:numFmt w:val="decimal"/>
      <w:isLgl/>
      <w:lvlText w:val="%1.%2.%3.%4.%5.%6"/>
      <w:lvlJc w:val="left"/>
      <w:pPr>
        <w:ind w:left="1080" w:hanging="1080"/>
      </w:pPr>
      <w:rPr>
        <w:rFonts w:ascii="Gadugi" w:hAnsi="Gadugi" w:hint="default"/>
        <w:b w:val="0"/>
        <w:color w:val="2F5496" w:themeColor="accent1" w:themeShade="BF"/>
        <w:sz w:val="26"/>
      </w:rPr>
    </w:lvl>
    <w:lvl w:ilvl="6">
      <w:start w:val="1"/>
      <w:numFmt w:val="decimal"/>
      <w:isLgl/>
      <w:lvlText w:val="%1.%2.%3.%4.%5.%6.%7"/>
      <w:lvlJc w:val="left"/>
      <w:pPr>
        <w:ind w:left="1440" w:hanging="1440"/>
      </w:pPr>
      <w:rPr>
        <w:rFonts w:ascii="Gadugi" w:hAnsi="Gadugi" w:hint="default"/>
        <w:b w:val="0"/>
        <w:color w:val="2F5496" w:themeColor="accent1" w:themeShade="BF"/>
        <w:sz w:val="26"/>
      </w:rPr>
    </w:lvl>
    <w:lvl w:ilvl="7">
      <w:start w:val="1"/>
      <w:numFmt w:val="decimal"/>
      <w:isLgl/>
      <w:lvlText w:val="%1.%2.%3.%4.%5.%6.%7.%8"/>
      <w:lvlJc w:val="left"/>
      <w:pPr>
        <w:ind w:left="1440" w:hanging="1440"/>
      </w:pPr>
      <w:rPr>
        <w:rFonts w:ascii="Gadugi" w:hAnsi="Gadugi" w:hint="default"/>
        <w:b w:val="0"/>
        <w:color w:val="2F5496" w:themeColor="accent1" w:themeShade="BF"/>
        <w:sz w:val="26"/>
      </w:rPr>
    </w:lvl>
    <w:lvl w:ilvl="8">
      <w:start w:val="1"/>
      <w:numFmt w:val="decimal"/>
      <w:isLgl/>
      <w:lvlText w:val="%1.%2.%3.%4.%5.%6.%7.%8.%9"/>
      <w:lvlJc w:val="left"/>
      <w:pPr>
        <w:ind w:left="1800" w:hanging="1800"/>
      </w:pPr>
      <w:rPr>
        <w:rFonts w:ascii="Gadugi" w:hAnsi="Gadugi" w:hint="default"/>
        <w:b w:val="0"/>
        <w:color w:val="2F5496" w:themeColor="accent1" w:themeShade="BF"/>
        <w:sz w:val="26"/>
      </w:rPr>
    </w:lvl>
  </w:abstractNum>
  <w:abstractNum w:abstractNumId="1" w15:restartNumberingAfterBreak="0">
    <w:nsid w:val="0D7154AF"/>
    <w:multiLevelType w:val="hybridMultilevel"/>
    <w:tmpl w:val="105C140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B1274"/>
    <w:multiLevelType w:val="hybridMultilevel"/>
    <w:tmpl w:val="1E201D6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146376"/>
    <w:multiLevelType w:val="hybridMultilevel"/>
    <w:tmpl w:val="623ACE9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38148F0"/>
    <w:multiLevelType w:val="hybridMultilevel"/>
    <w:tmpl w:val="C59800E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DC39CC"/>
    <w:multiLevelType w:val="hybridMultilevel"/>
    <w:tmpl w:val="A4F48D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40870"/>
    <w:multiLevelType w:val="hybridMultilevel"/>
    <w:tmpl w:val="E0B05162"/>
    <w:lvl w:ilvl="0" w:tplc="0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F7605C"/>
    <w:multiLevelType w:val="hybridMultilevel"/>
    <w:tmpl w:val="E27EA53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A43751"/>
    <w:multiLevelType w:val="multilevel"/>
    <w:tmpl w:val="FC9A3DC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heme="majorHAnsi" w:eastAsiaTheme="majorEastAsia" w:hAnsiTheme="majorHAnsi" w:cstheme="majorBidi" w:hint="default"/>
        <w:color w:val="2F5496" w:themeColor="accent1" w:themeShade="BF"/>
      </w:rPr>
    </w:lvl>
    <w:lvl w:ilvl="2">
      <w:start w:val="1"/>
      <w:numFmt w:val="decimal"/>
      <w:isLgl/>
      <w:lvlText w:val="%1.%2.%3"/>
      <w:lvlJc w:val="left"/>
      <w:pPr>
        <w:ind w:left="1080" w:hanging="720"/>
      </w:pPr>
      <w:rPr>
        <w:rFonts w:asciiTheme="majorHAnsi" w:eastAsiaTheme="majorEastAsia" w:hAnsiTheme="majorHAnsi" w:cstheme="majorBidi" w:hint="default"/>
        <w:color w:val="2F5496" w:themeColor="accent1" w:themeShade="BF"/>
      </w:rPr>
    </w:lvl>
    <w:lvl w:ilvl="3">
      <w:start w:val="1"/>
      <w:numFmt w:val="decimal"/>
      <w:isLgl/>
      <w:lvlText w:val="%1.%2.%3.%4"/>
      <w:lvlJc w:val="left"/>
      <w:pPr>
        <w:ind w:left="1080" w:hanging="720"/>
      </w:pPr>
      <w:rPr>
        <w:rFonts w:asciiTheme="majorHAnsi" w:eastAsiaTheme="majorEastAsia" w:hAnsiTheme="majorHAnsi" w:cstheme="majorBidi" w:hint="default"/>
        <w:color w:val="2F5496" w:themeColor="accent1" w:themeShade="BF"/>
      </w:rPr>
    </w:lvl>
    <w:lvl w:ilvl="4">
      <w:start w:val="1"/>
      <w:numFmt w:val="decimal"/>
      <w:isLgl/>
      <w:lvlText w:val="%1.%2.%3.%4.%5"/>
      <w:lvlJc w:val="left"/>
      <w:pPr>
        <w:ind w:left="1440" w:hanging="1080"/>
      </w:pPr>
      <w:rPr>
        <w:rFonts w:asciiTheme="majorHAnsi" w:eastAsiaTheme="majorEastAsia" w:hAnsiTheme="majorHAnsi" w:cstheme="majorBidi" w:hint="default"/>
        <w:color w:val="2F5496" w:themeColor="accent1" w:themeShade="BF"/>
      </w:rPr>
    </w:lvl>
    <w:lvl w:ilvl="5">
      <w:start w:val="1"/>
      <w:numFmt w:val="decimal"/>
      <w:isLgl/>
      <w:lvlText w:val="%1.%2.%3.%4.%5.%6"/>
      <w:lvlJc w:val="left"/>
      <w:pPr>
        <w:ind w:left="1440" w:hanging="1080"/>
      </w:pPr>
      <w:rPr>
        <w:rFonts w:asciiTheme="majorHAnsi" w:eastAsiaTheme="majorEastAsia" w:hAnsiTheme="majorHAnsi" w:cstheme="majorBidi" w:hint="default"/>
        <w:color w:val="2F5496" w:themeColor="accent1" w:themeShade="BF"/>
      </w:rPr>
    </w:lvl>
    <w:lvl w:ilvl="6">
      <w:start w:val="1"/>
      <w:numFmt w:val="decimal"/>
      <w:isLgl/>
      <w:lvlText w:val="%1.%2.%3.%4.%5.%6.%7"/>
      <w:lvlJc w:val="left"/>
      <w:pPr>
        <w:ind w:left="1800" w:hanging="1440"/>
      </w:pPr>
      <w:rPr>
        <w:rFonts w:asciiTheme="majorHAnsi" w:eastAsiaTheme="majorEastAsia" w:hAnsiTheme="majorHAnsi" w:cstheme="majorBidi" w:hint="default"/>
        <w:color w:val="2F5496" w:themeColor="accent1" w:themeShade="BF"/>
      </w:rPr>
    </w:lvl>
    <w:lvl w:ilvl="7">
      <w:start w:val="1"/>
      <w:numFmt w:val="decimal"/>
      <w:isLgl/>
      <w:lvlText w:val="%1.%2.%3.%4.%5.%6.%7.%8"/>
      <w:lvlJc w:val="left"/>
      <w:pPr>
        <w:ind w:left="1800" w:hanging="1440"/>
      </w:pPr>
      <w:rPr>
        <w:rFonts w:asciiTheme="majorHAnsi" w:eastAsiaTheme="majorEastAsia" w:hAnsiTheme="majorHAnsi" w:cstheme="majorBidi" w:hint="default"/>
        <w:color w:val="2F5496" w:themeColor="accent1" w:themeShade="BF"/>
      </w:rPr>
    </w:lvl>
    <w:lvl w:ilvl="8">
      <w:start w:val="1"/>
      <w:numFmt w:val="decimal"/>
      <w:isLgl/>
      <w:lvlText w:val="%1.%2.%3.%4.%5.%6.%7.%8.%9"/>
      <w:lvlJc w:val="left"/>
      <w:pPr>
        <w:ind w:left="2160" w:hanging="1800"/>
      </w:pPr>
      <w:rPr>
        <w:rFonts w:asciiTheme="majorHAnsi" w:eastAsiaTheme="majorEastAsia" w:hAnsiTheme="majorHAnsi" w:cstheme="majorBidi" w:hint="default"/>
        <w:color w:val="2F5496" w:themeColor="accent1" w:themeShade="BF"/>
      </w:rPr>
    </w:lvl>
  </w:abstractNum>
  <w:abstractNum w:abstractNumId="10" w15:restartNumberingAfterBreak="0">
    <w:nsid w:val="56E67279"/>
    <w:multiLevelType w:val="hybridMultilevel"/>
    <w:tmpl w:val="AE1E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C4252"/>
    <w:multiLevelType w:val="hybridMultilevel"/>
    <w:tmpl w:val="3166808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353D9F"/>
    <w:multiLevelType w:val="hybridMultilevel"/>
    <w:tmpl w:val="682026F6"/>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721250"/>
    <w:multiLevelType w:val="hybridMultilevel"/>
    <w:tmpl w:val="7B140EE0"/>
    <w:lvl w:ilvl="0" w:tplc="E29060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10"/>
  </w:num>
  <w:num w:numId="4">
    <w:abstractNumId w:val="6"/>
  </w:num>
  <w:num w:numId="5">
    <w:abstractNumId w:val="0"/>
  </w:num>
  <w:num w:numId="6">
    <w:abstractNumId w:val="13"/>
  </w:num>
  <w:num w:numId="7">
    <w:abstractNumId w:val="1"/>
  </w:num>
  <w:num w:numId="8">
    <w:abstractNumId w:val="5"/>
  </w:num>
  <w:num w:numId="9">
    <w:abstractNumId w:val="8"/>
  </w:num>
  <w:num w:numId="10">
    <w:abstractNumId w:val="12"/>
  </w:num>
  <w:num w:numId="11">
    <w:abstractNumId w:val="3"/>
  </w:num>
  <w:num w:numId="12">
    <w:abstractNumId w:val="11"/>
  </w:num>
  <w:num w:numId="13">
    <w:abstractNumId w:val="2"/>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5614"/>
    <w:rsid w:val="00005C23"/>
    <w:rsid w:val="00012ED1"/>
    <w:rsid w:val="000216D6"/>
    <w:rsid w:val="000248EB"/>
    <w:rsid w:val="000315A6"/>
    <w:rsid w:val="00042D0D"/>
    <w:rsid w:val="00044E65"/>
    <w:rsid w:val="00052D6B"/>
    <w:rsid w:val="00057B1F"/>
    <w:rsid w:val="00061C78"/>
    <w:rsid w:val="0006492B"/>
    <w:rsid w:val="0006780D"/>
    <w:rsid w:val="00067E22"/>
    <w:rsid w:val="000713A0"/>
    <w:rsid w:val="00077B47"/>
    <w:rsid w:val="000942D5"/>
    <w:rsid w:val="00094863"/>
    <w:rsid w:val="000948FB"/>
    <w:rsid w:val="00097BE2"/>
    <w:rsid w:val="000A0137"/>
    <w:rsid w:val="000A1EC8"/>
    <w:rsid w:val="000A3FC9"/>
    <w:rsid w:val="000A6E7D"/>
    <w:rsid w:val="000B7A41"/>
    <w:rsid w:val="000D0121"/>
    <w:rsid w:val="000F0F18"/>
    <w:rsid w:val="000F1379"/>
    <w:rsid w:val="000F25BC"/>
    <w:rsid w:val="000F4F39"/>
    <w:rsid w:val="00105E84"/>
    <w:rsid w:val="0011712E"/>
    <w:rsid w:val="00117ED5"/>
    <w:rsid w:val="00121935"/>
    <w:rsid w:val="00122355"/>
    <w:rsid w:val="001231AC"/>
    <w:rsid w:val="00123DA2"/>
    <w:rsid w:val="001312A6"/>
    <w:rsid w:val="00133C53"/>
    <w:rsid w:val="00141215"/>
    <w:rsid w:val="00144B4E"/>
    <w:rsid w:val="0015170C"/>
    <w:rsid w:val="00151899"/>
    <w:rsid w:val="0015342C"/>
    <w:rsid w:val="001539FC"/>
    <w:rsid w:val="00155D1C"/>
    <w:rsid w:val="00156FD2"/>
    <w:rsid w:val="001864D5"/>
    <w:rsid w:val="001948BD"/>
    <w:rsid w:val="00195E22"/>
    <w:rsid w:val="00196777"/>
    <w:rsid w:val="0019797F"/>
    <w:rsid w:val="001A4536"/>
    <w:rsid w:val="001A7BE6"/>
    <w:rsid w:val="001B1A28"/>
    <w:rsid w:val="001B364E"/>
    <w:rsid w:val="001B75CF"/>
    <w:rsid w:val="001C4229"/>
    <w:rsid w:val="001C4E9A"/>
    <w:rsid w:val="001D437E"/>
    <w:rsid w:val="001E1FA0"/>
    <w:rsid w:val="001E3CD1"/>
    <w:rsid w:val="001E69F0"/>
    <w:rsid w:val="001E6F07"/>
    <w:rsid w:val="002110EC"/>
    <w:rsid w:val="00212228"/>
    <w:rsid w:val="00212832"/>
    <w:rsid w:val="00212EF4"/>
    <w:rsid w:val="002140A7"/>
    <w:rsid w:val="00216913"/>
    <w:rsid w:val="00222255"/>
    <w:rsid w:val="00222D78"/>
    <w:rsid w:val="00234D94"/>
    <w:rsid w:val="002361A9"/>
    <w:rsid w:val="002405FF"/>
    <w:rsid w:val="0024118A"/>
    <w:rsid w:val="00247464"/>
    <w:rsid w:val="002476E8"/>
    <w:rsid w:val="00247760"/>
    <w:rsid w:val="0025377D"/>
    <w:rsid w:val="00257BD8"/>
    <w:rsid w:val="002619EC"/>
    <w:rsid w:val="00264F82"/>
    <w:rsid w:val="0027036E"/>
    <w:rsid w:val="002874D3"/>
    <w:rsid w:val="00287A5F"/>
    <w:rsid w:val="00291893"/>
    <w:rsid w:val="00291EF8"/>
    <w:rsid w:val="00291EFE"/>
    <w:rsid w:val="00293F6E"/>
    <w:rsid w:val="002A26D8"/>
    <w:rsid w:val="002A3A91"/>
    <w:rsid w:val="002A7202"/>
    <w:rsid w:val="002A7994"/>
    <w:rsid w:val="002B3F89"/>
    <w:rsid w:val="002C1AC4"/>
    <w:rsid w:val="002D2235"/>
    <w:rsid w:val="002D59D3"/>
    <w:rsid w:val="002F2C4E"/>
    <w:rsid w:val="00301C1F"/>
    <w:rsid w:val="0030342C"/>
    <w:rsid w:val="00304566"/>
    <w:rsid w:val="00320055"/>
    <w:rsid w:val="003231D3"/>
    <w:rsid w:val="00325FD6"/>
    <w:rsid w:val="0033411F"/>
    <w:rsid w:val="0034014E"/>
    <w:rsid w:val="00340154"/>
    <w:rsid w:val="00340584"/>
    <w:rsid w:val="0034307C"/>
    <w:rsid w:val="00346164"/>
    <w:rsid w:val="003526EC"/>
    <w:rsid w:val="00353694"/>
    <w:rsid w:val="003616AB"/>
    <w:rsid w:val="00363E69"/>
    <w:rsid w:val="00363F11"/>
    <w:rsid w:val="003656D3"/>
    <w:rsid w:val="00367854"/>
    <w:rsid w:val="003718E2"/>
    <w:rsid w:val="00377AA3"/>
    <w:rsid w:val="00377BCC"/>
    <w:rsid w:val="003832BB"/>
    <w:rsid w:val="00384F23"/>
    <w:rsid w:val="00387D18"/>
    <w:rsid w:val="0039507A"/>
    <w:rsid w:val="003962ED"/>
    <w:rsid w:val="003A4920"/>
    <w:rsid w:val="003B1141"/>
    <w:rsid w:val="003B2F27"/>
    <w:rsid w:val="003B3596"/>
    <w:rsid w:val="003C1439"/>
    <w:rsid w:val="003C2CC8"/>
    <w:rsid w:val="003C53CE"/>
    <w:rsid w:val="003C5927"/>
    <w:rsid w:val="003C63CC"/>
    <w:rsid w:val="003D671D"/>
    <w:rsid w:val="003E6AD6"/>
    <w:rsid w:val="003E7068"/>
    <w:rsid w:val="003F311E"/>
    <w:rsid w:val="00411440"/>
    <w:rsid w:val="00413DC3"/>
    <w:rsid w:val="004179CF"/>
    <w:rsid w:val="00420CE5"/>
    <w:rsid w:val="0042157F"/>
    <w:rsid w:val="00434BBD"/>
    <w:rsid w:val="00447A3C"/>
    <w:rsid w:val="0046715B"/>
    <w:rsid w:val="0047271C"/>
    <w:rsid w:val="00472E57"/>
    <w:rsid w:val="00484699"/>
    <w:rsid w:val="00485012"/>
    <w:rsid w:val="00493EC3"/>
    <w:rsid w:val="004A0471"/>
    <w:rsid w:val="004A0F05"/>
    <w:rsid w:val="004B0E04"/>
    <w:rsid w:val="004B0F15"/>
    <w:rsid w:val="004B30BC"/>
    <w:rsid w:val="004B6678"/>
    <w:rsid w:val="004B751D"/>
    <w:rsid w:val="004C0919"/>
    <w:rsid w:val="004C51AD"/>
    <w:rsid w:val="004C68C9"/>
    <w:rsid w:val="004D24A7"/>
    <w:rsid w:val="004D2D79"/>
    <w:rsid w:val="004D2FFB"/>
    <w:rsid w:val="004D6547"/>
    <w:rsid w:val="004D724A"/>
    <w:rsid w:val="004E03D5"/>
    <w:rsid w:val="004F1927"/>
    <w:rsid w:val="004F42AE"/>
    <w:rsid w:val="004F4D98"/>
    <w:rsid w:val="004F7B9B"/>
    <w:rsid w:val="00505A05"/>
    <w:rsid w:val="00507507"/>
    <w:rsid w:val="00510CCD"/>
    <w:rsid w:val="005125D4"/>
    <w:rsid w:val="005204BC"/>
    <w:rsid w:val="005245DD"/>
    <w:rsid w:val="00536B50"/>
    <w:rsid w:val="0054084F"/>
    <w:rsid w:val="00544519"/>
    <w:rsid w:val="0054548F"/>
    <w:rsid w:val="00550DF1"/>
    <w:rsid w:val="005512C5"/>
    <w:rsid w:val="005520D3"/>
    <w:rsid w:val="0055275F"/>
    <w:rsid w:val="00552BC4"/>
    <w:rsid w:val="0055310A"/>
    <w:rsid w:val="00554ECC"/>
    <w:rsid w:val="00560970"/>
    <w:rsid w:val="00560AAF"/>
    <w:rsid w:val="00576888"/>
    <w:rsid w:val="00576F16"/>
    <w:rsid w:val="005926F3"/>
    <w:rsid w:val="00594062"/>
    <w:rsid w:val="005A1732"/>
    <w:rsid w:val="005A295D"/>
    <w:rsid w:val="005B57F3"/>
    <w:rsid w:val="005C339D"/>
    <w:rsid w:val="005E41DB"/>
    <w:rsid w:val="005E65AF"/>
    <w:rsid w:val="006054CC"/>
    <w:rsid w:val="00606285"/>
    <w:rsid w:val="0060649E"/>
    <w:rsid w:val="00606F59"/>
    <w:rsid w:val="00617176"/>
    <w:rsid w:val="006176CB"/>
    <w:rsid w:val="00626773"/>
    <w:rsid w:val="00630206"/>
    <w:rsid w:val="0063448E"/>
    <w:rsid w:val="006415C1"/>
    <w:rsid w:val="0064381B"/>
    <w:rsid w:val="00643B80"/>
    <w:rsid w:val="00650A72"/>
    <w:rsid w:val="006527D0"/>
    <w:rsid w:val="00657010"/>
    <w:rsid w:val="0066016F"/>
    <w:rsid w:val="00662189"/>
    <w:rsid w:val="0066430A"/>
    <w:rsid w:val="0066521A"/>
    <w:rsid w:val="006661BE"/>
    <w:rsid w:val="006665EB"/>
    <w:rsid w:val="00667D4B"/>
    <w:rsid w:val="00672A10"/>
    <w:rsid w:val="00672B3A"/>
    <w:rsid w:val="0067712E"/>
    <w:rsid w:val="00682E50"/>
    <w:rsid w:val="00683FC8"/>
    <w:rsid w:val="00690CAE"/>
    <w:rsid w:val="006946FC"/>
    <w:rsid w:val="0069546E"/>
    <w:rsid w:val="00696088"/>
    <w:rsid w:val="006A3284"/>
    <w:rsid w:val="006A5479"/>
    <w:rsid w:val="006A5616"/>
    <w:rsid w:val="006A5C6B"/>
    <w:rsid w:val="006B109D"/>
    <w:rsid w:val="006B3F94"/>
    <w:rsid w:val="006B4D1F"/>
    <w:rsid w:val="006C2B15"/>
    <w:rsid w:val="006D128C"/>
    <w:rsid w:val="006D4C66"/>
    <w:rsid w:val="006E13FD"/>
    <w:rsid w:val="006F04D8"/>
    <w:rsid w:val="006F1F62"/>
    <w:rsid w:val="006F391B"/>
    <w:rsid w:val="006F45AE"/>
    <w:rsid w:val="006F4793"/>
    <w:rsid w:val="006F633E"/>
    <w:rsid w:val="00700CF3"/>
    <w:rsid w:val="007011E4"/>
    <w:rsid w:val="007100B3"/>
    <w:rsid w:val="00712C16"/>
    <w:rsid w:val="00716940"/>
    <w:rsid w:val="007206C1"/>
    <w:rsid w:val="00722D0C"/>
    <w:rsid w:val="00725903"/>
    <w:rsid w:val="00732CD7"/>
    <w:rsid w:val="007333E6"/>
    <w:rsid w:val="007346AE"/>
    <w:rsid w:val="00736423"/>
    <w:rsid w:val="00736562"/>
    <w:rsid w:val="00740363"/>
    <w:rsid w:val="0074140F"/>
    <w:rsid w:val="007456B5"/>
    <w:rsid w:val="00745A1E"/>
    <w:rsid w:val="00745A96"/>
    <w:rsid w:val="007477D9"/>
    <w:rsid w:val="00747B1D"/>
    <w:rsid w:val="00753012"/>
    <w:rsid w:val="00754532"/>
    <w:rsid w:val="00755F61"/>
    <w:rsid w:val="00755F70"/>
    <w:rsid w:val="00760C51"/>
    <w:rsid w:val="00761503"/>
    <w:rsid w:val="00763C47"/>
    <w:rsid w:val="00766C53"/>
    <w:rsid w:val="00766CF6"/>
    <w:rsid w:val="0077356B"/>
    <w:rsid w:val="00780868"/>
    <w:rsid w:val="00782593"/>
    <w:rsid w:val="00784754"/>
    <w:rsid w:val="007950DC"/>
    <w:rsid w:val="0079752C"/>
    <w:rsid w:val="0079764A"/>
    <w:rsid w:val="007A4873"/>
    <w:rsid w:val="007B2C98"/>
    <w:rsid w:val="007C25A1"/>
    <w:rsid w:val="007D2500"/>
    <w:rsid w:val="007D78BF"/>
    <w:rsid w:val="007F0D53"/>
    <w:rsid w:val="007F43CD"/>
    <w:rsid w:val="0080150F"/>
    <w:rsid w:val="0080794C"/>
    <w:rsid w:val="008135C7"/>
    <w:rsid w:val="00813D9F"/>
    <w:rsid w:val="00816040"/>
    <w:rsid w:val="00834609"/>
    <w:rsid w:val="00836765"/>
    <w:rsid w:val="00846543"/>
    <w:rsid w:val="00846E1A"/>
    <w:rsid w:val="00850223"/>
    <w:rsid w:val="0085187F"/>
    <w:rsid w:val="008544CF"/>
    <w:rsid w:val="00854E34"/>
    <w:rsid w:val="00855EC2"/>
    <w:rsid w:val="00862B05"/>
    <w:rsid w:val="00862F05"/>
    <w:rsid w:val="00863A6B"/>
    <w:rsid w:val="00866271"/>
    <w:rsid w:val="00873265"/>
    <w:rsid w:val="0088264E"/>
    <w:rsid w:val="00882C26"/>
    <w:rsid w:val="00885BE9"/>
    <w:rsid w:val="00895684"/>
    <w:rsid w:val="008A243F"/>
    <w:rsid w:val="008A3B91"/>
    <w:rsid w:val="008A7AFC"/>
    <w:rsid w:val="008B1BAF"/>
    <w:rsid w:val="008C0749"/>
    <w:rsid w:val="008C074C"/>
    <w:rsid w:val="008C29AB"/>
    <w:rsid w:val="008C6070"/>
    <w:rsid w:val="008E06B5"/>
    <w:rsid w:val="008E109B"/>
    <w:rsid w:val="008E1158"/>
    <w:rsid w:val="008E444E"/>
    <w:rsid w:val="008E6C53"/>
    <w:rsid w:val="008F280E"/>
    <w:rsid w:val="0090020D"/>
    <w:rsid w:val="00900216"/>
    <w:rsid w:val="009026DF"/>
    <w:rsid w:val="00903C4D"/>
    <w:rsid w:val="00903C8F"/>
    <w:rsid w:val="009110FA"/>
    <w:rsid w:val="00916B67"/>
    <w:rsid w:val="00921727"/>
    <w:rsid w:val="00925276"/>
    <w:rsid w:val="00925AF4"/>
    <w:rsid w:val="009303EC"/>
    <w:rsid w:val="0093105E"/>
    <w:rsid w:val="00935A4D"/>
    <w:rsid w:val="00941961"/>
    <w:rsid w:val="00943F5E"/>
    <w:rsid w:val="00945E6E"/>
    <w:rsid w:val="00953508"/>
    <w:rsid w:val="00956521"/>
    <w:rsid w:val="00970272"/>
    <w:rsid w:val="00972474"/>
    <w:rsid w:val="00974776"/>
    <w:rsid w:val="00974947"/>
    <w:rsid w:val="00974CEF"/>
    <w:rsid w:val="00975FBB"/>
    <w:rsid w:val="00980E6F"/>
    <w:rsid w:val="00987EEE"/>
    <w:rsid w:val="0099313F"/>
    <w:rsid w:val="009A0241"/>
    <w:rsid w:val="009A3754"/>
    <w:rsid w:val="009B1314"/>
    <w:rsid w:val="009B23F2"/>
    <w:rsid w:val="009B31FB"/>
    <w:rsid w:val="009B3289"/>
    <w:rsid w:val="009B37F5"/>
    <w:rsid w:val="009C1B32"/>
    <w:rsid w:val="009C3319"/>
    <w:rsid w:val="009C34CA"/>
    <w:rsid w:val="009C71DC"/>
    <w:rsid w:val="009D11B9"/>
    <w:rsid w:val="009D23B3"/>
    <w:rsid w:val="009D2E0D"/>
    <w:rsid w:val="009D4FA1"/>
    <w:rsid w:val="009D6103"/>
    <w:rsid w:val="009E0504"/>
    <w:rsid w:val="009E5B8C"/>
    <w:rsid w:val="009F13E3"/>
    <w:rsid w:val="009F1994"/>
    <w:rsid w:val="009F3939"/>
    <w:rsid w:val="009F526B"/>
    <w:rsid w:val="00A00A36"/>
    <w:rsid w:val="00A13817"/>
    <w:rsid w:val="00A148FC"/>
    <w:rsid w:val="00A24565"/>
    <w:rsid w:val="00A245A7"/>
    <w:rsid w:val="00A24B4D"/>
    <w:rsid w:val="00A31860"/>
    <w:rsid w:val="00A3449B"/>
    <w:rsid w:val="00A344C0"/>
    <w:rsid w:val="00A3611A"/>
    <w:rsid w:val="00A45DC7"/>
    <w:rsid w:val="00A46D81"/>
    <w:rsid w:val="00A52C93"/>
    <w:rsid w:val="00A53464"/>
    <w:rsid w:val="00A72DC9"/>
    <w:rsid w:val="00A775BD"/>
    <w:rsid w:val="00A94155"/>
    <w:rsid w:val="00AA2AA7"/>
    <w:rsid w:val="00AA4354"/>
    <w:rsid w:val="00AA46D8"/>
    <w:rsid w:val="00AA4B81"/>
    <w:rsid w:val="00AA4E9F"/>
    <w:rsid w:val="00AA595F"/>
    <w:rsid w:val="00AA67A2"/>
    <w:rsid w:val="00AA7295"/>
    <w:rsid w:val="00AA7760"/>
    <w:rsid w:val="00AA78BF"/>
    <w:rsid w:val="00AB181A"/>
    <w:rsid w:val="00AB2C54"/>
    <w:rsid w:val="00AC47EC"/>
    <w:rsid w:val="00AD01CD"/>
    <w:rsid w:val="00AD33FF"/>
    <w:rsid w:val="00AD5C63"/>
    <w:rsid w:val="00AE2A42"/>
    <w:rsid w:val="00AE2CB9"/>
    <w:rsid w:val="00AF66A8"/>
    <w:rsid w:val="00AF6C43"/>
    <w:rsid w:val="00AF758F"/>
    <w:rsid w:val="00B11E51"/>
    <w:rsid w:val="00B133E7"/>
    <w:rsid w:val="00B14431"/>
    <w:rsid w:val="00B15ABA"/>
    <w:rsid w:val="00B1647D"/>
    <w:rsid w:val="00B171B1"/>
    <w:rsid w:val="00B22313"/>
    <w:rsid w:val="00B225BD"/>
    <w:rsid w:val="00B30E4E"/>
    <w:rsid w:val="00B3257D"/>
    <w:rsid w:val="00B342E5"/>
    <w:rsid w:val="00B40A80"/>
    <w:rsid w:val="00B44A46"/>
    <w:rsid w:val="00B53979"/>
    <w:rsid w:val="00B61D72"/>
    <w:rsid w:val="00B61EAA"/>
    <w:rsid w:val="00B62AED"/>
    <w:rsid w:val="00B62ED1"/>
    <w:rsid w:val="00B67746"/>
    <w:rsid w:val="00B70BEC"/>
    <w:rsid w:val="00B723BE"/>
    <w:rsid w:val="00B7482C"/>
    <w:rsid w:val="00B74A0B"/>
    <w:rsid w:val="00B76D94"/>
    <w:rsid w:val="00B80ADF"/>
    <w:rsid w:val="00B82BED"/>
    <w:rsid w:val="00B858A9"/>
    <w:rsid w:val="00B85C7E"/>
    <w:rsid w:val="00B8730A"/>
    <w:rsid w:val="00B94A6A"/>
    <w:rsid w:val="00B97CCE"/>
    <w:rsid w:val="00BA5AC1"/>
    <w:rsid w:val="00BA7729"/>
    <w:rsid w:val="00BB3BD8"/>
    <w:rsid w:val="00BC015D"/>
    <w:rsid w:val="00BC0162"/>
    <w:rsid w:val="00BC3822"/>
    <w:rsid w:val="00BC44FE"/>
    <w:rsid w:val="00BC4995"/>
    <w:rsid w:val="00BC7816"/>
    <w:rsid w:val="00BD4322"/>
    <w:rsid w:val="00BE2305"/>
    <w:rsid w:val="00BE25F3"/>
    <w:rsid w:val="00BE578D"/>
    <w:rsid w:val="00BE66B7"/>
    <w:rsid w:val="00BF191C"/>
    <w:rsid w:val="00C02098"/>
    <w:rsid w:val="00C200BC"/>
    <w:rsid w:val="00C20396"/>
    <w:rsid w:val="00C20C9E"/>
    <w:rsid w:val="00C21DF3"/>
    <w:rsid w:val="00C27853"/>
    <w:rsid w:val="00C30525"/>
    <w:rsid w:val="00C32906"/>
    <w:rsid w:val="00C32A0F"/>
    <w:rsid w:val="00C34E8C"/>
    <w:rsid w:val="00C44D4A"/>
    <w:rsid w:val="00C700B5"/>
    <w:rsid w:val="00C718B2"/>
    <w:rsid w:val="00C74B3F"/>
    <w:rsid w:val="00C80D7E"/>
    <w:rsid w:val="00C834DD"/>
    <w:rsid w:val="00C8427E"/>
    <w:rsid w:val="00C84712"/>
    <w:rsid w:val="00C85B77"/>
    <w:rsid w:val="00C863D7"/>
    <w:rsid w:val="00C87502"/>
    <w:rsid w:val="00C976CF"/>
    <w:rsid w:val="00C97CE7"/>
    <w:rsid w:val="00C97E85"/>
    <w:rsid w:val="00CA2C2F"/>
    <w:rsid w:val="00CA4937"/>
    <w:rsid w:val="00CB148D"/>
    <w:rsid w:val="00CB261C"/>
    <w:rsid w:val="00CB4F13"/>
    <w:rsid w:val="00CC26EB"/>
    <w:rsid w:val="00CC504F"/>
    <w:rsid w:val="00CE040F"/>
    <w:rsid w:val="00CE7BDA"/>
    <w:rsid w:val="00CF4507"/>
    <w:rsid w:val="00CF59CE"/>
    <w:rsid w:val="00CF749F"/>
    <w:rsid w:val="00D11A62"/>
    <w:rsid w:val="00D16324"/>
    <w:rsid w:val="00D24713"/>
    <w:rsid w:val="00D3283C"/>
    <w:rsid w:val="00D35DDB"/>
    <w:rsid w:val="00D402A1"/>
    <w:rsid w:val="00D42214"/>
    <w:rsid w:val="00D431DD"/>
    <w:rsid w:val="00D459F9"/>
    <w:rsid w:val="00D533B8"/>
    <w:rsid w:val="00D64765"/>
    <w:rsid w:val="00D80E3D"/>
    <w:rsid w:val="00D879AA"/>
    <w:rsid w:val="00D93C8D"/>
    <w:rsid w:val="00DA7646"/>
    <w:rsid w:val="00DB6208"/>
    <w:rsid w:val="00DC38CA"/>
    <w:rsid w:val="00DD6496"/>
    <w:rsid w:val="00DD6D21"/>
    <w:rsid w:val="00DE1A72"/>
    <w:rsid w:val="00DE26CE"/>
    <w:rsid w:val="00DE7C72"/>
    <w:rsid w:val="00DF1C4D"/>
    <w:rsid w:val="00DF3B52"/>
    <w:rsid w:val="00E04A83"/>
    <w:rsid w:val="00E04C63"/>
    <w:rsid w:val="00E1370A"/>
    <w:rsid w:val="00E1483A"/>
    <w:rsid w:val="00E166D9"/>
    <w:rsid w:val="00E229B7"/>
    <w:rsid w:val="00E2688C"/>
    <w:rsid w:val="00E511C6"/>
    <w:rsid w:val="00E57187"/>
    <w:rsid w:val="00E57512"/>
    <w:rsid w:val="00E62E86"/>
    <w:rsid w:val="00E64618"/>
    <w:rsid w:val="00E72BCF"/>
    <w:rsid w:val="00E80F79"/>
    <w:rsid w:val="00E83A0B"/>
    <w:rsid w:val="00E90344"/>
    <w:rsid w:val="00EA30EF"/>
    <w:rsid w:val="00EA3934"/>
    <w:rsid w:val="00EA75AB"/>
    <w:rsid w:val="00EB2B61"/>
    <w:rsid w:val="00EC31BE"/>
    <w:rsid w:val="00EC4763"/>
    <w:rsid w:val="00EC5B74"/>
    <w:rsid w:val="00EC627F"/>
    <w:rsid w:val="00EC637C"/>
    <w:rsid w:val="00ED2086"/>
    <w:rsid w:val="00ED5715"/>
    <w:rsid w:val="00EE750E"/>
    <w:rsid w:val="00EF14DE"/>
    <w:rsid w:val="00F00F5F"/>
    <w:rsid w:val="00F035F5"/>
    <w:rsid w:val="00F05B70"/>
    <w:rsid w:val="00F05DB5"/>
    <w:rsid w:val="00F14377"/>
    <w:rsid w:val="00F23419"/>
    <w:rsid w:val="00F236D2"/>
    <w:rsid w:val="00F32F6F"/>
    <w:rsid w:val="00F407CC"/>
    <w:rsid w:val="00F40FE0"/>
    <w:rsid w:val="00F41794"/>
    <w:rsid w:val="00F473FE"/>
    <w:rsid w:val="00F47579"/>
    <w:rsid w:val="00F47AD7"/>
    <w:rsid w:val="00F50614"/>
    <w:rsid w:val="00F5384E"/>
    <w:rsid w:val="00F56984"/>
    <w:rsid w:val="00F65AA0"/>
    <w:rsid w:val="00F6633A"/>
    <w:rsid w:val="00F7272A"/>
    <w:rsid w:val="00F76867"/>
    <w:rsid w:val="00F82666"/>
    <w:rsid w:val="00F843C4"/>
    <w:rsid w:val="00F8490D"/>
    <w:rsid w:val="00F908F4"/>
    <w:rsid w:val="00F91846"/>
    <w:rsid w:val="00F927F8"/>
    <w:rsid w:val="00F94DF9"/>
    <w:rsid w:val="00FA66AD"/>
    <w:rsid w:val="00FB08CD"/>
    <w:rsid w:val="00FB4BDE"/>
    <w:rsid w:val="00FC02BF"/>
    <w:rsid w:val="00FC02E4"/>
    <w:rsid w:val="00FD2D61"/>
    <w:rsid w:val="00FD4E86"/>
    <w:rsid w:val="00FE080A"/>
    <w:rsid w:val="00FE4AB2"/>
    <w:rsid w:val="00FE5EEF"/>
    <w:rsid w:val="00FF0013"/>
    <w:rsid w:val="00FF3218"/>
    <w:rsid w:val="00FF479A"/>
    <w:rsid w:val="00FF58BE"/>
    <w:rsid w:val="00FF5FA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85855868">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996491330">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36994672">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309016400">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7B534-71CD-4A15-B06D-0C225AA560A7}">
  <ds:schemaRefs>
    <ds:schemaRef ds:uri="http://schemas.openxmlformats.org/officeDocument/2006/bibliography"/>
  </ds:schemaRefs>
</ds:datastoreItem>
</file>

<file path=customXml/itemProps2.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20</cp:revision>
  <dcterms:created xsi:type="dcterms:W3CDTF">2021-12-03T14:09:00Z</dcterms:created>
  <dcterms:modified xsi:type="dcterms:W3CDTF">2022-01-03T12:02:00Z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