
<file path=[Content_Types].xml><?xml version="1.0" encoding="utf-8"?>
<Types xmlns="http://schemas.openxmlformats.org/package/2006/content-types">
  <Default Extension="jpg" ContentType="image/jpe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4994"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9"/>
        <w:gridCol w:w="6665"/>
      </w:tblGrid>
      <w:tr w:rsidR="00C17465" w:rsidRPr="00CE7883" w14:paraId="529CBCB4" w14:textId="77777777" w:rsidTr="00C17465">
        <w:tc>
          <w:tcPr>
            <w:tcW w:w="1257" w:type="pct"/>
          </w:tcPr>
          <w:p w14:paraId="6FF66618" w14:textId="794A29BC" w:rsidR="00C17465" w:rsidRPr="00CE7883" w:rsidRDefault="00B102B2" w:rsidP="00417D87">
            <w:pPr>
              <w:pStyle w:val="NormalWeb"/>
              <w:rPr>
                <w:rFonts w:ascii="Calibri" w:hAnsi="Calibri" w:cs="Calibri"/>
                <w:color w:val="2D5193"/>
                <w:sz w:val="32"/>
                <w:szCs w:val="32"/>
                <w:lang w:val="fr-FR"/>
              </w:rPr>
            </w:pPr>
            <w:r w:rsidRPr="00CE7883">
              <w:rPr>
                <w:noProof/>
                <w:lang w:val="fr-FR"/>
              </w:rPr>
              <w:drawing>
                <wp:inline distT="0" distB="0" distL="0" distR="0" wp14:anchorId="2D30092F" wp14:editId="7E91A991">
                  <wp:extent cx="1920000" cy="720000"/>
                  <wp:effectExtent l="0" t="0" r="0" b="444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920000" cy="720000"/>
                          </a:xfrm>
                          <a:prstGeom prst="rect">
                            <a:avLst/>
                          </a:prstGeom>
                        </pic:spPr>
                      </pic:pic>
                    </a:graphicData>
                  </a:graphic>
                </wp:inline>
              </w:drawing>
            </w:r>
          </w:p>
        </w:tc>
        <w:tc>
          <w:tcPr>
            <w:tcW w:w="3743" w:type="pct"/>
          </w:tcPr>
          <w:p w14:paraId="5AB7A75F" w14:textId="4BFEF5B6" w:rsidR="00C17465" w:rsidRPr="00CE7883" w:rsidRDefault="005071E6" w:rsidP="00C17465">
            <w:pPr>
              <w:pStyle w:val="NormalWeb"/>
              <w:jc w:val="right"/>
              <w:rPr>
                <w:rFonts w:ascii="Calibri" w:hAnsi="Calibri" w:cs="Calibri"/>
                <w:color w:val="2D5193"/>
                <w:sz w:val="28"/>
                <w:szCs w:val="28"/>
                <w:lang w:val="fr-FR"/>
              </w:rPr>
            </w:pPr>
            <w:r w:rsidRPr="00CE7883">
              <w:rPr>
                <w:rFonts w:ascii="Calibri" w:hAnsi="Calibri" w:cs="Calibri"/>
                <w:color w:val="2D5193"/>
                <w:sz w:val="28"/>
                <w:szCs w:val="28"/>
                <w:lang w:val="fr-FR"/>
              </w:rPr>
              <w:t>Ensemble vers une école inclusive</w:t>
            </w:r>
          </w:p>
        </w:tc>
      </w:tr>
    </w:tbl>
    <w:p w14:paraId="35A86AEE" w14:textId="77777777" w:rsidR="00D16882" w:rsidRPr="00CE7883" w:rsidRDefault="00D16882" w:rsidP="00D16882">
      <w:pPr>
        <w:pStyle w:val="NormalWeb"/>
        <w:spacing w:before="0" w:beforeAutospacing="0" w:after="0" w:afterAutospacing="0" w:line="264" w:lineRule="auto"/>
        <w:rPr>
          <w:rFonts w:asciiTheme="minorHAnsi" w:hAnsiTheme="minorHAnsi" w:cstheme="minorHAnsi"/>
          <w:sz w:val="22"/>
          <w:szCs w:val="22"/>
          <w:lang w:val="fr-FR"/>
        </w:rPr>
      </w:pPr>
    </w:p>
    <w:p w14:paraId="3C7F7569" w14:textId="741A645E" w:rsidR="005C015B" w:rsidRPr="005C015B" w:rsidRDefault="005A429D" w:rsidP="0057013B">
      <w:pPr>
        <w:spacing w:before="100" w:beforeAutospacing="1" w:after="100" w:afterAutospacing="1" w:line="264" w:lineRule="auto"/>
        <w:outlineLvl w:val="4"/>
        <w:rPr>
          <w:rFonts w:ascii="Calibri" w:hAnsi="Calibri" w:cs="Calibri"/>
          <w:color w:val="2D5193"/>
          <w:sz w:val="32"/>
          <w:szCs w:val="32"/>
          <w:lang w:val="fr-FR"/>
        </w:rPr>
      </w:pPr>
      <w:r>
        <w:rPr>
          <w:rFonts w:ascii="Calibri" w:hAnsi="Calibri" w:cs="Calibri"/>
          <w:color w:val="2D5193"/>
          <w:sz w:val="32"/>
          <w:szCs w:val="32"/>
          <w:lang w:val="fr-FR"/>
        </w:rPr>
        <w:t>L’É</w:t>
      </w:r>
      <w:r w:rsidR="005C015B" w:rsidRPr="005C015B">
        <w:rPr>
          <w:rFonts w:ascii="Calibri" w:hAnsi="Calibri" w:cs="Calibri"/>
          <w:color w:val="2D5193"/>
          <w:sz w:val="32"/>
          <w:szCs w:val="32"/>
          <w:lang w:val="fr-FR"/>
        </w:rPr>
        <w:t>cole primaire d'</w:t>
      </w:r>
      <w:proofErr w:type="spellStart"/>
      <w:r w:rsidR="005C015B" w:rsidRPr="005C015B">
        <w:rPr>
          <w:rFonts w:ascii="Calibri" w:hAnsi="Calibri" w:cs="Calibri"/>
          <w:color w:val="2D5193"/>
          <w:sz w:val="32"/>
          <w:szCs w:val="32"/>
          <w:lang w:val="fr-FR"/>
        </w:rPr>
        <w:t>Egerton</w:t>
      </w:r>
      <w:proofErr w:type="spellEnd"/>
    </w:p>
    <w:p w14:paraId="6054DE94" w14:textId="77777777" w:rsidR="005C015B" w:rsidRPr="005C015B" w:rsidRDefault="005C015B" w:rsidP="0057013B">
      <w:pPr>
        <w:spacing w:before="60" w:after="60" w:line="264" w:lineRule="auto"/>
        <w:rPr>
          <w:rFonts w:asciiTheme="minorHAnsi" w:hAnsiTheme="minorHAnsi" w:cstheme="minorHAnsi"/>
          <w:color w:val="495057"/>
          <w:sz w:val="23"/>
          <w:szCs w:val="23"/>
        </w:rPr>
      </w:pPr>
      <w:r w:rsidRPr="005C015B">
        <w:rPr>
          <w:rFonts w:asciiTheme="minorHAnsi" w:hAnsiTheme="minorHAnsi" w:cstheme="minorHAnsi"/>
          <w:color w:val="495057"/>
          <w:sz w:val="23"/>
          <w:szCs w:val="23"/>
          <w:lang w:val="fr-FR"/>
        </w:rPr>
        <w:t>Les enseignant.e.s de l'école primaire kenyane d'</w:t>
      </w:r>
      <w:proofErr w:type="spellStart"/>
      <w:r w:rsidRPr="005C015B">
        <w:rPr>
          <w:rFonts w:asciiTheme="minorHAnsi" w:hAnsiTheme="minorHAnsi" w:cstheme="minorHAnsi"/>
          <w:color w:val="495057"/>
          <w:sz w:val="23"/>
          <w:szCs w:val="23"/>
          <w:lang w:val="fr-FR"/>
        </w:rPr>
        <w:t>Egerton</w:t>
      </w:r>
      <w:proofErr w:type="spellEnd"/>
      <w:r w:rsidRPr="005C015B">
        <w:rPr>
          <w:rFonts w:asciiTheme="minorHAnsi" w:hAnsiTheme="minorHAnsi" w:cstheme="minorHAnsi"/>
          <w:color w:val="495057"/>
          <w:sz w:val="23"/>
          <w:szCs w:val="23"/>
          <w:lang w:val="fr-FR"/>
        </w:rPr>
        <w:t xml:space="preserve"> ont découvert les REL TESSA (www.tessafrica.net) en 2008, grâce à des universitaires de l'université d'</w:t>
      </w:r>
      <w:proofErr w:type="spellStart"/>
      <w:r w:rsidRPr="005C015B">
        <w:rPr>
          <w:rFonts w:asciiTheme="minorHAnsi" w:hAnsiTheme="minorHAnsi" w:cstheme="minorHAnsi"/>
          <w:color w:val="495057"/>
          <w:sz w:val="23"/>
          <w:szCs w:val="23"/>
          <w:lang w:val="fr-FR"/>
        </w:rPr>
        <w:t>Egerton</w:t>
      </w:r>
      <w:proofErr w:type="spellEnd"/>
      <w:r w:rsidRPr="005C015B">
        <w:rPr>
          <w:rFonts w:asciiTheme="minorHAnsi" w:hAnsiTheme="minorHAnsi" w:cstheme="minorHAnsi"/>
          <w:color w:val="495057"/>
          <w:sz w:val="23"/>
          <w:szCs w:val="23"/>
          <w:lang w:val="fr-FR"/>
        </w:rPr>
        <w:t>. Les REL TESSA aident les enseignant.e.s à développer des approches actives de l'apprentissage et de l'enseignement, en fournissant des exemples de séquences de cours qui modélisent des attitudes centrées sur l'apprenant.e. Les universitaires ont visité l'école pour aider les enseignant.e.s à utiliser les ressources.</w:t>
      </w:r>
    </w:p>
    <w:p w14:paraId="32EBCC8D" w14:textId="43547BE0" w:rsidR="005C015B" w:rsidRDefault="005C015B" w:rsidP="0057013B">
      <w:pPr>
        <w:spacing w:before="60" w:after="60" w:line="264" w:lineRule="auto"/>
        <w:rPr>
          <w:rFonts w:asciiTheme="minorHAnsi" w:hAnsiTheme="minorHAnsi" w:cstheme="minorHAnsi"/>
          <w:color w:val="495057"/>
          <w:sz w:val="23"/>
          <w:szCs w:val="23"/>
          <w:lang w:val="fr-FR"/>
        </w:rPr>
      </w:pPr>
      <w:proofErr w:type="spellStart"/>
      <w:r w:rsidRPr="005C015B">
        <w:rPr>
          <w:rFonts w:asciiTheme="minorHAnsi" w:hAnsiTheme="minorHAnsi" w:cstheme="minorHAnsi"/>
          <w:color w:val="495057"/>
          <w:sz w:val="23"/>
          <w:szCs w:val="23"/>
          <w:lang w:val="fr-FR"/>
        </w:rPr>
        <w:t>Inspiré.e.s</w:t>
      </w:r>
      <w:proofErr w:type="spellEnd"/>
      <w:r w:rsidRPr="005C015B">
        <w:rPr>
          <w:rFonts w:asciiTheme="minorHAnsi" w:hAnsiTheme="minorHAnsi" w:cstheme="minorHAnsi"/>
          <w:color w:val="495057"/>
          <w:sz w:val="23"/>
          <w:szCs w:val="23"/>
          <w:lang w:val="fr-FR"/>
        </w:rPr>
        <w:t xml:space="preserve"> par certaines des activités de classe décrites dans les ressources, les enseignant.e.</w:t>
      </w:r>
      <w:proofErr w:type="spellStart"/>
      <w:r w:rsidRPr="005C015B">
        <w:rPr>
          <w:rFonts w:asciiTheme="minorHAnsi" w:hAnsiTheme="minorHAnsi" w:cstheme="minorHAnsi"/>
          <w:color w:val="495057"/>
          <w:sz w:val="23"/>
          <w:szCs w:val="23"/>
          <w:lang w:val="fr-FR"/>
        </w:rPr>
        <w:t>s ont</w:t>
      </w:r>
      <w:proofErr w:type="spellEnd"/>
      <w:r w:rsidRPr="005C015B">
        <w:rPr>
          <w:rFonts w:asciiTheme="minorHAnsi" w:hAnsiTheme="minorHAnsi" w:cstheme="minorHAnsi"/>
          <w:color w:val="495057"/>
          <w:sz w:val="23"/>
          <w:szCs w:val="23"/>
          <w:lang w:val="fr-FR"/>
        </w:rPr>
        <w:t xml:space="preserve"> réorganisé leur classe </w:t>
      </w:r>
      <w:proofErr w:type="gramStart"/>
      <w:r w:rsidRPr="005C015B">
        <w:rPr>
          <w:rFonts w:asciiTheme="minorHAnsi" w:hAnsiTheme="minorHAnsi" w:cstheme="minorHAnsi"/>
          <w:color w:val="495057"/>
          <w:sz w:val="23"/>
          <w:szCs w:val="23"/>
          <w:lang w:val="fr-FR"/>
        </w:rPr>
        <w:t>de manière à ce</w:t>
      </w:r>
      <w:proofErr w:type="gramEnd"/>
      <w:r w:rsidRPr="005C015B">
        <w:rPr>
          <w:rFonts w:asciiTheme="minorHAnsi" w:hAnsiTheme="minorHAnsi" w:cstheme="minorHAnsi"/>
          <w:color w:val="495057"/>
          <w:sz w:val="23"/>
          <w:szCs w:val="23"/>
          <w:lang w:val="fr-FR"/>
        </w:rPr>
        <w:t xml:space="preserve"> que les élèves puissent s'asseoir autour de tables, en groupes, plutôt qu'en rangées. Cela leur permettait de discuter plus facilement en groupes et en binômes.</w:t>
      </w:r>
    </w:p>
    <w:p w14:paraId="1B212A07" w14:textId="6256065D" w:rsidR="006A1D24" w:rsidRDefault="006A1D24" w:rsidP="0057013B">
      <w:pPr>
        <w:spacing w:before="60" w:after="60" w:line="264" w:lineRule="auto"/>
        <w:rPr>
          <w:rFonts w:asciiTheme="minorHAnsi" w:hAnsiTheme="minorHAnsi" w:cstheme="minorHAnsi"/>
          <w:color w:val="495057"/>
          <w:sz w:val="23"/>
          <w:szCs w:val="23"/>
          <w:lang w:val="fr-FR"/>
        </w:rPr>
      </w:pPr>
    </w:p>
    <w:p w14:paraId="193F03FD" w14:textId="56B7B236" w:rsidR="006A1D24" w:rsidRDefault="006A1D24" w:rsidP="0057013B">
      <w:pPr>
        <w:spacing w:before="60" w:after="60" w:line="264" w:lineRule="auto"/>
        <w:rPr>
          <w:rFonts w:asciiTheme="minorHAnsi" w:hAnsiTheme="minorHAnsi" w:cstheme="minorHAnsi"/>
          <w:color w:val="495057"/>
          <w:sz w:val="23"/>
          <w:szCs w:val="23"/>
        </w:rPr>
      </w:pPr>
      <w:r>
        <w:rPr>
          <w:rFonts w:asciiTheme="minorHAnsi" w:hAnsiTheme="minorHAnsi" w:cstheme="minorHAnsi"/>
          <w:noProof/>
          <w:color w:val="495057"/>
          <w:sz w:val="23"/>
          <w:szCs w:val="23"/>
        </w:rPr>
        <w:drawing>
          <wp:inline distT="0" distB="0" distL="0" distR="0" wp14:anchorId="1329D3B2" wp14:editId="7996A6AF">
            <wp:extent cx="2898581" cy="2160000"/>
            <wp:effectExtent l="0" t="0" r="0" b="0"/>
            <wp:docPr id="1" name="Picture 1" descr="A picture containing text, person, indoor,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person, indoor, child&#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2898581" cy="2160000"/>
                    </a:xfrm>
                    <a:prstGeom prst="rect">
                      <a:avLst/>
                    </a:prstGeom>
                  </pic:spPr>
                </pic:pic>
              </a:graphicData>
            </a:graphic>
          </wp:inline>
        </w:drawing>
      </w:r>
    </w:p>
    <w:p w14:paraId="01EBB1C4" w14:textId="77777777" w:rsidR="0057013B" w:rsidRPr="0057013B" w:rsidRDefault="0057013B" w:rsidP="0057013B">
      <w:pPr>
        <w:spacing w:line="264" w:lineRule="auto"/>
        <w:rPr>
          <w:i/>
          <w:iCs/>
          <w:lang w:val="fr-FR"/>
        </w:rPr>
      </w:pPr>
      <w:r w:rsidRPr="0057013B">
        <w:rPr>
          <w:rFonts w:ascii="Arial" w:hAnsi="Arial" w:cs="Arial"/>
          <w:i/>
          <w:iCs/>
          <w:color w:val="312B39"/>
          <w:sz w:val="17"/>
          <w:szCs w:val="17"/>
          <w:lang w:val="fr-FR"/>
        </w:rPr>
        <w:t>Élèves discutant une question ouverte en groupes</w:t>
      </w:r>
    </w:p>
    <w:p w14:paraId="603CB814" w14:textId="77777777" w:rsidR="0057013B" w:rsidRPr="005C015B" w:rsidRDefault="0057013B" w:rsidP="0057013B">
      <w:pPr>
        <w:spacing w:before="60" w:after="60" w:line="264" w:lineRule="auto"/>
        <w:rPr>
          <w:rFonts w:asciiTheme="minorHAnsi" w:hAnsiTheme="minorHAnsi" w:cstheme="minorHAnsi"/>
          <w:color w:val="495057"/>
          <w:sz w:val="23"/>
          <w:szCs w:val="23"/>
        </w:rPr>
      </w:pPr>
    </w:p>
    <w:p w14:paraId="1B130F92" w14:textId="287A3F59" w:rsidR="005C015B" w:rsidRDefault="005C015B" w:rsidP="0057013B">
      <w:pPr>
        <w:spacing w:before="60" w:after="60" w:line="264" w:lineRule="auto"/>
        <w:rPr>
          <w:rFonts w:asciiTheme="minorHAnsi" w:hAnsiTheme="minorHAnsi" w:cstheme="minorHAnsi"/>
          <w:color w:val="495057"/>
          <w:sz w:val="23"/>
          <w:szCs w:val="23"/>
          <w:lang w:val="fr-FR"/>
        </w:rPr>
      </w:pPr>
      <w:r w:rsidRPr="005C015B">
        <w:rPr>
          <w:rFonts w:asciiTheme="minorHAnsi" w:hAnsiTheme="minorHAnsi" w:cstheme="minorHAnsi"/>
          <w:color w:val="495057"/>
          <w:sz w:val="23"/>
          <w:szCs w:val="23"/>
          <w:lang w:val="fr-FR"/>
        </w:rPr>
        <w:t xml:space="preserve">Elles/Ils ont également développé un centre de ressources où les </w:t>
      </w:r>
      <w:proofErr w:type="spellStart"/>
      <w:r w:rsidRPr="005C015B">
        <w:rPr>
          <w:rFonts w:asciiTheme="minorHAnsi" w:hAnsiTheme="minorHAnsi" w:cstheme="minorHAnsi"/>
          <w:color w:val="495057"/>
          <w:sz w:val="23"/>
          <w:szCs w:val="23"/>
          <w:lang w:val="fr-FR"/>
        </w:rPr>
        <w:t>enseignant.e.s</w:t>
      </w:r>
      <w:proofErr w:type="spellEnd"/>
      <w:r w:rsidRPr="005C015B">
        <w:rPr>
          <w:rFonts w:asciiTheme="minorHAnsi" w:hAnsiTheme="minorHAnsi" w:cstheme="minorHAnsi"/>
          <w:color w:val="495057"/>
          <w:sz w:val="23"/>
          <w:szCs w:val="23"/>
          <w:lang w:val="fr-FR"/>
        </w:rPr>
        <w:t xml:space="preserve"> ont été </w:t>
      </w:r>
      <w:proofErr w:type="spellStart"/>
      <w:r w:rsidRPr="005C015B">
        <w:rPr>
          <w:rFonts w:asciiTheme="minorHAnsi" w:hAnsiTheme="minorHAnsi" w:cstheme="minorHAnsi"/>
          <w:color w:val="495057"/>
          <w:sz w:val="23"/>
          <w:szCs w:val="23"/>
          <w:lang w:val="fr-FR"/>
        </w:rPr>
        <w:t>encouragé.e.s</w:t>
      </w:r>
      <w:proofErr w:type="spellEnd"/>
      <w:r w:rsidRPr="005C015B">
        <w:rPr>
          <w:rFonts w:asciiTheme="minorHAnsi" w:hAnsiTheme="minorHAnsi" w:cstheme="minorHAnsi"/>
          <w:color w:val="495057"/>
          <w:sz w:val="23"/>
          <w:szCs w:val="23"/>
          <w:lang w:val="fr-FR"/>
        </w:rPr>
        <w:t xml:space="preserve"> à stocker et à partager les ressources pédagogiques qu'elles/ils ont fabriquées à partir de matériaux locaux. </w:t>
      </w:r>
    </w:p>
    <w:p w14:paraId="74DD14E4" w14:textId="77777777" w:rsidR="0057013B" w:rsidRDefault="0057013B" w:rsidP="0057013B">
      <w:pPr>
        <w:spacing w:before="60" w:after="60" w:line="264" w:lineRule="auto"/>
        <w:rPr>
          <w:rFonts w:asciiTheme="minorHAnsi" w:hAnsiTheme="minorHAnsi" w:cstheme="minorHAnsi"/>
          <w:color w:val="495057"/>
          <w:sz w:val="23"/>
          <w:szCs w:val="23"/>
          <w:lang w:val="fr-FR"/>
        </w:rPr>
      </w:pPr>
    </w:p>
    <w:p w14:paraId="3040C8AF" w14:textId="60776DAE" w:rsidR="006A1D24" w:rsidRDefault="006A1D24" w:rsidP="0057013B">
      <w:pPr>
        <w:spacing w:before="60" w:after="60" w:line="264" w:lineRule="auto"/>
        <w:rPr>
          <w:rFonts w:asciiTheme="minorHAnsi" w:hAnsiTheme="minorHAnsi" w:cstheme="minorHAnsi"/>
          <w:color w:val="495057"/>
          <w:sz w:val="23"/>
          <w:szCs w:val="23"/>
          <w:lang w:val="fr-FR"/>
        </w:rPr>
      </w:pPr>
      <w:r>
        <w:rPr>
          <w:rFonts w:asciiTheme="minorHAnsi" w:hAnsiTheme="minorHAnsi" w:cstheme="minorHAnsi"/>
          <w:noProof/>
          <w:color w:val="495057"/>
          <w:sz w:val="23"/>
          <w:szCs w:val="23"/>
          <w:lang w:val="fr-FR"/>
        </w:rPr>
        <w:drawing>
          <wp:inline distT="0" distB="0" distL="0" distR="0" wp14:anchorId="216A1502" wp14:editId="62E1D594">
            <wp:extent cx="2901493" cy="2160000"/>
            <wp:effectExtent l="0" t="0" r="0" b="0"/>
            <wp:docPr id="4" name="Picture 4" descr="A group of people in a roo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group of people in a room&#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2901493" cy="2160000"/>
                    </a:xfrm>
                    <a:prstGeom prst="rect">
                      <a:avLst/>
                    </a:prstGeom>
                  </pic:spPr>
                </pic:pic>
              </a:graphicData>
            </a:graphic>
          </wp:inline>
        </w:drawing>
      </w:r>
    </w:p>
    <w:p w14:paraId="2246A8CE" w14:textId="77777777" w:rsidR="0057013B" w:rsidRPr="0057013B" w:rsidRDefault="0057013B" w:rsidP="0057013B">
      <w:pPr>
        <w:spacing w:line="264" w:lineRule="auto"/>
        <w:rPr>
          <w:i/>
          <w:iCs/>
          <w:lang w:val="fr-FR"/>
        </w:rPr>
      </w:pPr>
      <w:r w:rsidRPr="0057013B">
        <w:rPr>
          <w:rFonts w:ascii="Arial" w:hAnsi="Arial" w:cs="Arial"/>
          <w:i/>
          <w:iCs/>
          <w:color w:val="312B39"/>
          <w:sz w:val="18"/>
          <w:szCs w:val="18"/>
          <w:lang w:val="fr-FR"/>
        </w:rPr>
        <w:t>Salle de ressources à l'école primaire d'</w:t>
      </w:r>
      <w:proofErr w:type="spellStart"/>
      <w:r w:rsidRPr="0057013B">
        <w:rPr>
          <w:rFonts w:ascii="Arial" w:hAnsi="Arial" w:cs="Arial"/>
          <w:i/>
          <w:iCs/>
          <w:color w:val="312B39"/>
          <w:sz w:val="18"/>
          <w:szCs w:val="18"/>
          <w:lang w:val="fr-FR"/>
        </w:rPr>
        <w:t>Egerton</w:t>
      </w:r>
      <w:proofErr w:type="spellEnd"/>
      <w:r w:rsidRPr="0057013B">
        <w:rPr>
          <w:rFonts w:ascii="Arial" w:hAnsi="Arial" w:cs="Arial"/>
          <w:i/>
          <w:iCs/>
          <w:color w:val="312B39"/>
          <w:sz w:val="18"/>
          <w:szCs w:val="18"/>
          <w:lang w:val="fr-FR"/>
        </w:rPr>
        <w:t>, Kenya</w:t>
      </w:r>
    </w:p>
    <w:p w14:paraId="60B799FB" w14:textId="77777777" w:rsidR="0057013B" w:rsidRDefault="0057013B" w:rsidP="0057013B">
      <w:pPr>
        <w:spacing w:before="60" w:after="60" w:line="264" w:lineRule="auto"/>
        <w:rPr>
          <w:rFonts w:asciiTheme="minorHAnsi" w:hAnsiTheme="minorHAnsi" w:cstheme="minorHAnsi"/>
          <w:color w:val="495057"/>
          <w:sz w:val="23"/>
          <w:szCs w:val="23"/>
          <w:lang w:val="fr-FR"/>
        </w:rPr>
      </w:pPr>
    </w:p>
    <w:p w14:paraId="31471E78" w14:textId="77777777" w:rsidR="006A1D24" w:rsidRPr="005C015B" w:rsidRDefault="006A1D24" w:rsidP="0057013B">
      <w:pPr>
        <w:spacing w:before="60" w:after="60" w:line="264" w:lineRule="auto"/>
        <w:rPr>
          <w:rFonts w:asciiTheme="minorHAnsi" w:hAnsiTheme="minorHAnsi" w:cstheme="minorHAnsi"/>
          <w:color w:val="495057"/>
          <w:sz w:val="23"/>
          <w:szCs w:val="23"/>
        </w:rPr>
      </w:pPr>
    </w:p>
    <w:p w14:paraId="45491F6B" w14:textId="77777777" w:rsidR="005C015B" w:rsidRPr="005C015B" w:rsidRDefault="005C015B" w:rsidP="0057013B">
      <w:pPr>
        <w:spacing w:before="60" w:after="60" w:line="264" w:lineRule="auto"/>
        <w:rPr>
          <w:rFonts w:asciiTheme="minorHAnsi" w:hAnsiTheme="minorHAnsi" w:cstheme="minorHAnsi"/>
          <w:color w:val="495057"/>
          <w:sz w:val="23"/>
          <w:szCs w:val="23"/>
        </w:rPr>
      </w:pPr>
      <w:r w:rsidRPr="005C015B">
        <w:rPr>
          <w:rFonts w:asciiTheme="minorHAnsi" w:hAnsiTheme="minorHAnsi" w:cstheme="minorHAnsi"/>
          <w:color w:val="495057"/>
          <w:sz w:val="23"/>
          <w:szCs w:val="23"/>
          <w:lang w:val="fr-FR"/>
        </w:rPr>
        <w:t>Grâce à la fréquence accrue du travail en binôme et en groupe, les enseignant.e.s se sont rendu compte que certains enfants de quatrième année ne savaient pas assez bien lire pour pouvoir suivre le programme scolaire.</w:t>
      </w:r>
    </w:p>
    <w:p w14:paraId="21471B5F" w14:textId="65D57C4D" w:rsidR="005C015B" w:rsidRPr="005C015B" w:rsidRDefault="005C015B" w:rsidP="0057013B">
      <w:pPr>
        <w:spacing w:before="60" w:after="60" w:line="264" w:lineRule="auto"/>
        <w:rPr>
          <w:rFonts w:asciiTheme="minorHAnsi" w:hAnsiTheme="minorHAnsi" w:cstheme="minorHAnsi"/>
          <w:sz w:val="23"/>
          <w:szCs w:val="23"/>
          <w:lang w:val="fr-FR"/>
        </w:rPr>
      </w:pPr>
      <w:r w:rsidRPr="005C015B">
        <w:rPr>
          <w:rFonts w:asciiTheme="minorHAnsi" w:hAnsiTheme="minorHAnsi" w:cstheme="minorHAnsi"/>
          <w:sz w:val="23"/>
          <w:szCs w:val="23"/>
          <w:lang w:val="fr-FR"/>
        </w:rPr>
        <w:t xml:space="preserve">Elles/Ils ont donc commencé à mettre l'accent sur l'alphabétisation dans toute l'école et ont fait appel à la communauté locale pour les aider à construire une bibliothèque scolaire. Les parents agissent en tant que bénévoles, venant dans la bibliothèque et écoutant les enfants lire ; l'église locale a entrepris des activités de collecte de fonds afin que l'école puisse imprimer des histoires du site </w:t>
      </w:r>
      <w:proofErr w:type="spellStart"/>
      <w:r w:rsidRPr="005C015B">
        <w:rPr>
          <w:rFonts w:asciiTheme="minorHAnsi" w:hAnsiTheme="minorHAnsi" w:cstheme="minorHAnsi"/>
          <w:sz w:val="23"/>
          <w:szCs w:val="23"/>
          <w:lang w:val="fr-FR"/>
        </w:rPr>
        <w:t>African</w:t>
      </w:r>
      <w:proofErr w:type="spellEnd"/>
      <w:r>
        <w:rPr>
          <w:rFonts w:asciiTheme="minorHAnsi" w:hAnsiTheme="minorHAnsi" w:cstheme="minorHAnsi"/>
          <w:sz w:val="23"/>
          <w:szCs w:val="23"/>
          <w:lang w:val="fr-FR"/>
        </w:rPr>
        <w:t xml:space="preserve"> </w:t>
      </w:r>
      <w:r w:rsidRPr="005C015B">
        <w:rPr>
          <w:rFonts w:asciiTheme="minorHAnsi" w:hAnsiTheme="minorHAnsi" w:cstheme="minorHAnsi"/>
          <w:sz w:val="23"/>
          <w:szCs w:val="23"/>
          <w:lang w:val="fr-FR"/>
        </w:rPr>
        <w:t>Story Book (www.africanstorybook.org) dans les langues locales et une organisation caritative locale a fait don de livres en anglais obtenus à l'étranger.</w:t>
      </w:r>
    </w:p>
    <w:p w14:paraId="3FF1DAA3" w14:textId="1790A84B" w:rsidR="005C015B" w:rsidRPr="005C015B" w:rsidRDefault="005C015B" w:rsidP="0057013B">
      <w:pPr>
        <w:spacing w:before="60" w:after="60" w:line="264" w:lineRule="auto"/>
        <w:rPr>
          <w:rFonts w:asciiTheme="minorHAnsi" w:hAnsiTheme="minorHAnsi" w:cstheme="minorHAnsi"/>
          <w:iCs/>
          <w:sz w:val="23"/>
          <w:szCs w:val="23"/>
          <w:vertAlign w:val="superscript"/>
          <w:lang w:val="fr-FR"/>
        </w:rPr>
      </w:pPr>
      <w:r w:rsidRPr="005C015B">
        <w:rPr>
          <w:rFonts w:asciiTheme="minorHAnsi" w:hAnsiTheme="minorHAnsi" w:cstheme="minorHAnsi"/>
          <w:sz w:val="23"/>
          <w:szCs w:val="23"/>
          <w:lang w:val="fr-FR"/>
        </w:rPr>
        <w:t>Un changement mineur - la réorganisation de la salle pour que les élèves puissent travailler en binôme ou en groupe - a donné lieu à un projet scolaire complet, ciblant spécifiquement l'alphabétisation. En effet, en donnant aux élèves la possibilité de parler de leur travail, les enseignant.e.s ont pris conscience d'éléments qui étaient passés inaperçus auparavant. L'utilisation des REL TESSA n'a pas résolu le problème des faibles niveaux de réussite et du manque de ressources pédagogiques, mais elle a mis l'école sur une trajectoire différente. Elle a permis d'identifier les raisons pour lesquelles les niveaux de réussite étaient faibles et les a incités à faire quelque chose pour y remédier. Elle a également mis en évidence des tâches spécifiques dans lesquelles la communauté locale pouvait s'impliquer, en l'amenant à l'école et en établissant des relations productives.</w:t>
      </w:r>
      <w:r w:rsidRPr="005C015B">
        <w:rPr>
          <w:rFonts w:asciiTheme="minorHAnsi" w:hAnsiTheme="minorHAnsi" w:cstheme="minorHAnsi"/>
          <w:sz w:val="23"/>
          <w:szCs w:val="23"/>
          <w:lang w:val="fr-FR"/>
        </w:rPr>
        <w:br/>
      </w:r>
    </w:p>
    <w:p w14:paraId="6F17D9A5" w14:textId="4A0E823E" w:rsidR="007D6D24" w:rsidRPr="005C015B" w:rsidRDefault="007D6D24" w:rsidP="005C015B">
      <w:pPr>
        <w:spacing w:before="60" w:after="60" w:line="276" w:lineRule="auto"/>
        <w:rPr>
          <w:rFonts w:asciiTheme="minorHAnsi" w:hAnsiTheme="minorHAnsi" w:cstheme="minorHAnsi"/>
          <w:iCs/>
          <w:sz w:val="23"/>
          <w:szCs w:val="23"/>
          <w:vertAlign w:val="superscript"/>
          <w:lang w:val="fr-FR"/>
        </w:rPr>
      </w:pPr>
    </w:p>
    <w:sectPr w:rsidR="007D6D24" w:rsidRPr="005C015B" w:rsidSect="009D0F1E">
      <w:footerReference w:type="default" r:id="rId9"/>
      <w:pgSz w:w="11900" w:h="16840"/>
      <w:pgMar w:top="754" w:right="992" w:bottom="559"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73BD8" w14:textId="77777777" w:rsidR="00320E20" w:rsidRDefault="00320E20" w:rsidP="00C17465">
      <w:r>
        <w:separator/>
      </w:r>
    </w:p>
  </w:endnote>
  <w:endnote w:type="continuationSeparator" w:id="0">
    <w:p w14:paraId="4FDA4F58" w14:textId="77777777" w:rsidR="00320E20" w:rsidRDefault="00320E20" w:rsidP="00C174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9D9F" w14:textId="6222C202" w:rsidR="00C17465" w:rsidRDefault="00C17465" w:rsidP="00C17465">
    <w:pPr>
      <w:pStyle w:val="Footer"/>
      <w:jc w:val="right"/>
    </w:pPr>
    <w:r w:rsidRPr="00C17465">
      <w:rPr>
        <w:noProof/>
      </w:rPr>
      <w:drawing>
        <wp:inline distT="0" distB="0" distL="0" distR="0" wp14:anchorId="6A79B192" wp14:editId="7EE4F7DA">
          <wp:extent cx="515769" cy="180000"/>
          <wp:effectExtent l="0" t="0" r="5080" b="0"/>
          <wp:docPr id="5" name="Picture 5" descr="Graphical user interfac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10;&#10;Description automatically generated with medium confidence"/>
                  <pic:cNvPicPr/>
                </pic:nvPicPr>
                <pic:blipFill>
                  <a:blip r:embed="rId1"/>
                  <a:stretch>
                    <a:fillRect/>
                  </a:stretch>
                </pic:blipFill>
                <pic:spPr>
                  <a:xfrm>
                    <a:off x="0" y="0"/>
                    <a:ext cx="515769" cy="1800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F3455" w14:textId="77777777" w:rsidR="00320E20" w:rsidRDefault="00320E20" w:rsidP="00C17465">
      <w:r>
        <w:separator/>
      </w:r>
    </w:p>
  </w:footnote>
  <w:footnote w:type="continuationSeparator" w:id="0">
    <w:p w14:paraId="2B24A2BF" w14:textId="77777777" w:rsidR="00320E20" w:rsidRDefault="00320E20" w:rsidP="00C1746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465"/>
    <w:rsid w:val="00007866"/>
    <w:rsid w:val="00065D0A"/>
    <w:rsid w:val="00087B56"/>
    <w:rsid w:val="000911BB"/>
    <w:rsid w:val="000B0D8C"/>
    <w:rsid w:val="000B3EEC"/>
    <w:rsid w:val="0015771F"/>
    <w:rsid w:val="00172940"/>
    <w:rsid w:val="001A65C0"/>
    <w:rsid w:val="001C54E2"/>
    <w:rsid w:val="0025222A"/>
    <w:rsid w:val="002A65FE"/>
    <w:rsid w:val="002C20AE"/>
    <w:rsid w:val="002D3B5E"/>
    <w:rsid w:val="00320E20"/>
    <w:rsid w:val="00357DDB"/>
    <w:rsid w:val="00360654"/>
    <w:rsid w:val="00373811"/>
    <w:rsid w:val="00477C5D"/>
    <w:rsid w:val="005071E6"/>
    <w:rsid w:val="0057013B"/>
    <w:rsid w:val="005A429D"/>
    <w:rsid w:val="005B5910"/>
    <w:rsid w:val="005C015B"/>
    <w:rsid w:val="006105ED"/>
    <w:rsid w:val="006552AC"/>
    <w:rsid w:val="006A1D24"/>
    <w:rsid w:val="006E3FF5"/>
    <w:rsid w:val="00752092"/>
    <w:rsid w:val="007D6D24"/>
    <w:rsid w:val="007D6D3C"/>
    <w:rsid w:val="007E2BE1"/>
    <w:rsid w:val="008551CF"/>
    <w:rsid w:val="008A6F13"/>
    <w:rsid w:val="008D3138"/>
    <w:rsid w:val="008D40D8"/>
    <w:rsid w:val="0095049F"/>
    <w:rsid w:val="009D0F1E"/>
    <w:rsid w:val="00A71EE7"/>
    <w:rsid w:val="00AB1E70"/>
    <w:rsid w:val="00AD4508"/>
    <w:rsid w:val="00AE7C80"/>
    <w:rsid w:val="00AF13FB"/>
    <w:rsid w:val="00B102B2"/>
    <w:rsid w:val="00B51DF6"/>
    <w:rsid w:val="00C17465"/>
    <w:rsid w:val="00C73232"/>
    <w:rsid w:val="00C921DE"/>
    <w:rsid w:val="00C92C3F"/>
    <w:rsid w:val="00CE7883"/>
    <w:rsid w:val="00D008A4"/>
    <w:rsid w:val="00D16882"/>
    <w:rsid w:val="00D20889"/>
    <w:rsid w:val="00D21770"/>
    <w:rsid w:val="00D90135"/>
    <w:rsid w:val="00DA61EB"/>
    <w:rsid w:val="00DA70F3"/>
    <w:rsid w:val="00DB5018"/>
    <w:rsid w:val="00DF780E"/>
    <w:rsid w:val="00E36620"/>
    <w:rsid w:val="00EC2E7F"/>
    <w:rsid w:val="00EC744E"/>
    <w:rsid w:val="00F926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465D"/>
  <w15:chartTrackingRefBased/>
  <w15:docId w15:val="{0E40CBBD-485C-B143-A3F2-8CEDF2DF7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7465"/>
    <w:rPr>
      <w:rFonts w:ascii="Times New Roman" w:eastAsia="Times New Roman" w:hAnsi="Times New Roman" w:cs="Times New Roman"/>
      <w:lang w:eastAsia="en-GB"/>
    </w:rPr>
  </w:style>
  <w:style w:type="paragraph" w:styleId="Heading5">
    <w:name w:val="heading 5"/>
    <w:basedOn w:val="Normal"/>
    <w:link w:val="Heading5Char"/>
    <w:uiPriority w:val="9"/>
    <w:qFormat/>
    <w:rsid w:val="005C015B"/>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17465"/>
    <w:pPr>
      <w:spacing w:before="100" w:beforeAutospacing="1" w:after="100" w:afterAutospacing="1"/>
    </w:pPr>
  </w:style>
  <w:style w:type="table" w:styleId="TableGrid">
    <w:name w:val="Table Grid"/>
    <w:basedOn w:val="TableNormal"/>
    <w:uiPriority w:val="39"/>
    <w:rsid w:val="00C17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17465"/>
    <w:pPr>
      <w:tabs>
        <w:tab w:val="center" w:pos="4680"/>
        <w:tab w:val="right" w:pos="9360"/>
      </w:tabs>
    </w:pPr>
  </w:style>
  <w:style w:type="character" w:customStyle="1" w:styleId="HeaderChar">
    <w:name w:val="Header Char"/>
    <w:basedOn w:val="DefaultParagraphFont"/>
    <w:link w:val="Header"/>
    <w:uiPriority w:val="99"/>
    <w:rsid w:val="00C17465"/>
    <w:rPr>
      <w:rFonts w:ascii="Times New Roman" w:eastAsia="Times New Roman" w:hAnsi="Times New Roman" w:cs="Times New Roman"/>
      <w:lang w:eastAsia="en-GB"/>
    </w:rPr>
  </w:style>
  <w:style w:type="paragraph" w:styleId="Footer">
    <w:name w:val="footer"/>
    <w:basedOn w:val="Normal"/>
    <w:link w:val="FooterChar"/>
    <w:uiPriority w:val="99"/>
    <w:unhideWhenUsed/>
    <w:rsid w:val="00C17465"/>
    <w:pPr>
      <w:tabs>
        <w:tab w:val="center" w:pos="4680"/>
        <w:tab w:val="right" w:pos="9360"/>
      </w:tabs>
    </w:pPr>
  </w:style>
  <w:style w:type="character" w:customStyle="1" w:styleId="FooterChar">
    <w:name w:val="Footer Char"/>
    <w:basedOn w:val="DefaultParagraphFont"/>
    <w:link w:val="Footer"/>
    <w:uiPriority w:val="99"/>
    <w:rsid w:val="00C17465"/>
    <w:rPr>
      <w:rFonts w:ascii="Times New Roman" w:eastAsia="Times New Roman" w:hAnsi="Times New Roman" w:cs="Times New Roman"/>
      <w:lang w:eastAsia="en-GB"/>
    </w:rPr>
  </w:style>
  <w:style w:type="character" w:customStyle="1" w:styleId="apple-converted-space">
    <w:name w:val="apple-converted-space"/>
    <w:basedOn w:val="DefaultParagraphFont"/>
    <w:rsid w:val="0025222A"/>
  </w:style>
  <w:style w:type="character" w:styleId="Hyperlink">
    <w:name w:val="Hyperlink"/>
    <w:basedOn w:val="DefaultParagraphFont"/>
    <w:uiPriority w:val="99"/>
    <w:unhideWhenUsed/>
    <w:rsid w:val="001A65C0"/>
    <w:rPr>
      <w:color w:val="0563C1" w:themeColor="hyperlink"/>
      <w:u w:val="single"/>
    </w:rPr>
  </w:style>
  <w:style w:type="character" w:styleId="UnresolvedMention">
    <w:name w:val="Unresolved Mention"/>
    <w:basedOn w:val="DefaultParagraphFont"/>
    <w:uiPriority w:val="99"/>
    <w:semiHidden/>
    <w:unhideWhenUsed/>
    <w:rsid w:val="001A65C0"/>
    <w:rPr>
      <w:color w:val="605E5C"/>
      <w:shd w:val="clear" w:color="auto" w:fill="E1DFDD"/>
    </w:rPr>
  </w:style>
  <w:style w:type="character" w:customStyle="1" w:styleId="Heading5Char">
    <w:name w:val="Heading 5 Char"/>
    <w:basedOn w:val="DefaultParagraphFont"/>
    <w:link w:val="Heading5"/>
    <w:uiPriority w:val="9"/>
    <w:rsid w:val="005C015B"/>
    <w:rPr>
      <w:rFonts w:ascii="Times New Roman" w:eastAsia="Times New Roman" w:hAnsi="Times New Roman" w:cs="Times New Roman"/>
      <w:b/>
      <w:bCs/>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901401">
      <w:bodyDiv w:val="1"/>
      <w:marLeft w:val="0"/>
      <w:marRight w:val="0"/>
      <w:marTop w:val="0"/>
      <w:marBottom w:val="0"/>
      <w:divBdr>
        <w:top w:val="none" w:sz="0" w:space="0" w:color="auto"/>
        <w:left w:val="none" w:sz="0" w:space="0" w:color="auto"/>
        <w:bottom w:val="none" w:sz="0" w:space="0" w:color="auto"/>
        <w:right w:val="none" w:sz="0" w:space="0" w:color="auto"/>
      </w:divBdr>
    </w:div>
    <w:div w:id="545214555">
      <w:bodyDiv w:val="1"/>
      <w:marLeft w:val="0"/>
      <w:marRight w:val="0"/>
      <w:marTop w:val="0"/>
      <w:marBottom w:val="0"/>
      <w:divBdr>
        <w:top w:val="none" w:sz="0" w:space="0" w:color="auto"/>
        <w:left w:val="none" w:sz="0" w:space="0" w:color="auto"/>
        <w:bottom w:val="none" w:sz="0" w:space="0" w:color="auto"/>
        <w:right w:val="none" w:sz="0" w:space="0" w:color="auto"/>
      </w:divBdr>
    </w:div>
    <w:div w:id="1453406608">
      <w:bodyDiv w:val="1"/>
      <w:marLeft w:val="0"/>
      <w:marRight w:val="0"/>
      <w:marTop w:val="0"/>
      <w:marBottom w:val="0"/>
      <w:divBdr>
        <w:top w:val="none" w:sz="0" w:space="0" w:color="auto"/>
        <w:left w:val="none" w:sz="0" w:space="0" w:color="auto"/>
        <w:bottom w:val="none" w:sz="0" w:space="0" w:color="auto"/>
        <w:right w:val="none" w:sz="0" w:space="0" w:color="auto"/>
      </w:divBdr>
    </w:div>
    <w:div w:id="1556038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webSettings" Target="webSettings.xml"/><Relationship Id="rId7" Type="http://schemas.openxmlformats.org/officeDocument/2006/relationships/image" Target="media/image2.jp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Michèle Deane</dc:creator>
  <cp:keywords/>
  <dc:description/>
  <cp:lastModifiedBy>Michele Deane</cp:lastModifiedBy>
  <cp:revision>7</cp:revision>
  <dcterms:created xsi:type="dcterms:W3CDTF">2022-02-06T16:27:00Z</dcterms:created>
  <dcterms:modified xsi:type="dcterms:W3CDTF">2022-04-02T14:51:00Z</dcterms:modified>
</cp:coreProperties>
</file>