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A3CB" w14:textId="77777777" w:rsidR="0004179C" w:rsidRPr="0004179C" w:rsidRDefault="0004179C" w:rsidP="0004179C">
      <w:pPr>
        <w:rPr>
          <w:b/>
          <w:bCs/>
        </w:rPr>
      </w:pPr>
      <w:r w:rsidRPr="0004179C">
        <w:rPr>
          <w:b/>
          <w:bCs/>
        </w:rPr>
        <w:t>The Future of Doctoral Writing: Critical Dialogues towards a Manifesto</w:t>
      </w:r>
    </w:p>
    <w:p w14:paraId="75F96F78" w14:textId="77777777" w:rsidR="0004179C" w:rsidRPr="0004179C" w:rsidRDefault="0004179C" w:rsidP="0004179C">
      <w:pPr>
        <w:rPr>
          <w:b/>
          <w:bCs/>
        </w:rPr>
      </w:pPr>
      <w:r w:rsidRPr="0004179C">
        <w:rPr>
          <w:b/>
          <w:bCs/>
          <w:i/>
          <w:iCs/>
        </w:rPr>
        <w:t>Event sponsored by BAAL / Cambridge University Press Seminar 2024-25 and by the Graduate School, The Open University.</w:t>
      </w:r>
    </w:p>
    <w:p w14:paraId="77F8E886" w14:textId="0254BB44" w:rsidR="0004179C" w:rsidRDefault="0004179C" w:rsidP="00FA395B">
      <w:pPr>
        <w:rPr>
          <w:b/>
          <w:bCs/>
        </w:rPr>
      </w:pPr>
      <w:r>
        <w:rPr>
          <w:b/>
          <w:bCs/>
        </w:rPr>
        <w:t>July 9, 2025</w:t>
      </w:r>
    </w:p>
    <w:p w14:paraId="4228427C" w14:textId="77777777" w:rsidR="0004179C" w:rsidRDefault="0004179C" w:rsidP="00FA395B">
      <w:pPr>
        <w:rPr>
          <w:b/>
          <w:bCs/>
        </w:rPr>
      </w:pPr>
    </w:p>
    <w:p w14:paraId="09AA91F6" w14:textId="77777777" w:rsidR="0004179C" w:rsidRDefault="0004179C" w:rsidP="00FA395B">
      <w:pPr>
        <w:rPr>
          <w:b/>
          <w:bCs/>
        </w:rPr>
      </w:pPr>
    </w:p>
    <w:p w14:paraId="0D6FD7A6" w14:textId="185A6BDD" w:rsidR="0004179C" w:rsidRDefault="005C07BB" w:rsidP="0004179C">
      <w:pPr>
        <w:pStyle w:val="Heading2"/>
        <w:jc w:val="center"/>
        <w:rPr>
          <w:lang w:val="sr-Latn-RS"/>
        </w:rPr>
      </w:pPr>
      <w:r>
        <w:t xml:space="preserve">Draft </w:t>
      </w:r>
      <w:r w:rsidR="0004179C" w:rsidRPr="005C07BB">
        <w:rPr>
          <w:b/>
          <w:bCs/>
        </w:rPr>
        <w:t>NOTES</w:t>
      </w:r>
      <w:r w:rsidR="0004179C">
        <w:t xml:space="preserve"> </w:t>
      </w:r>
      <w:r>
        <w:t>by</w:t>
      </w:r>
      <w:r w:rsidR="0004179C">
        <w:t xml:space="preserve"> Ivana </w:t>
      </w:r>
      <w:proofErr w:type="spellStart"/>
      <w:r w:rsidR="0004179C">
        <w:t>Milojevi</w:t>
      </w:r>
      <w:proofErr w:type="spellEnd"/>
      <w:r w:rsidR="0004179C">
        <w:rPr>
          <w:lang w:val="sr-Latn-RS"/>
        </w:rPr>
        <w:t>ć</w:t>
      </w:r>
    </w:p>
    <w:p w14:paraId="5F073333" w14:textId="77777777" w:rsidR="0004179C" w:rsidRDefault="0004179C" w:rsidP="00FA395B">
      <w:pPr>
        <w:rPr>
          <w:b/>
          <w:bCs/>
        </w:rPr>
      </w:pPr>
    </w:p>
    <w:p w14:paraId="62138401" w14:textId="77777777" w:rsidR="0004179C" w:rsidRDefault="0004179C" w:rsidP="00FA395B">
      <w:pPr>
        <w:rPr>
          <w:b/>
          <w:bCs/>
        </w:rPr>
      </w:pPr>
    </w:p>
    <w:p w14:paraId="76F45DD0" w14:textId="7554139D" w:rsidR="00FA395B" w:rsidRPr="00FA395B" w:rsidRDefault="00FA395B" w:rsidP="00FA395B">
      <w:pPr>
        <w:rPr>
          <w:b/>
          <w:bCs/>
        </w:rPr>
      </w:pPr>
      <w:r w:rsidRPr="00FA395B">
        <w:rPr>
          <w:b/>
          <w:bCs/>
        </w:rPr>
        <w:t xml:space="preserve">Theme 1: What </w:t>
      </w:r>
      <w:r w:rsidR="000A0B3E" w:rsidRPr="00FA395B">
        <w:rPr>
          <w:b/>
          <w:bCs/>
        </w:rPr>
        <w:t>is in store for doctoral writing (its future)?</w:t>
      </w:r>
    </w:p>
    <w:p w14:paraId="17BFEEEC" w14:textId="49D36C0C" w:rsidR="00FA395B" w:rsidRPr="00FA395B" w:rsidRDefault="00FA395B" w:rsidP="00FA395B">
      <w:r w:rsidRPr="00FA395B">
        <w:t>As in the past and the present, there will be multiple futures for doctoral writing. The direction it takes</w:t>
      </w:r>
      <w:r w:rsidR="00E378AB">
        <w:t xml:space="preserve"> – </w:t>
      </w:r>
      <w:r w:rsidRPr="00FA395B">
        <w:t>whether for individuals engaging in the process, for specific institutions and programs, or for nation-states and the global context</w:t>
      </w:r>
      <w:r w:rsidR="00E378AB">
        <w:t xml:space="preserve"> – </w:t>
      </w:r>
      <w:r w:rsidRPr="00FA395B">
        <w:t>will be context-dependent. It will also be shaped by three main forces that continually influence social change: the pull of the future (visions of what is preferred and desired), the push of the present (external trends and events), and the weight of history and social structure (which can hinder movement toward the preferred).</w:t>
      </w:r>
    </w:p>
    <w:p w14:paraId="393D9F0A" w14:textId="46E7C368" w:rsidR="00FA395B" w:rsidRPr="00FA395B" w:rsidRDefault="00FA395B" w:rsidP="00FA395B">
      <w:r w:rsidRPr="00FA395B">
        <w:t>In this dynamic, what doctoral writing looks like</w:t>
      </w:r>
      <w:r w:rsidR="00E378AB">
        <w:t xml:space="preserve"> – </w:t>
      </w:r>
      <w:r w:rsidRPr="00FA395B">
        <w:t>for individuals, organizations, and societies</w:t>
      </w:r>
      <w:r w:rsidR="00E378AB">
        <w:t xml:space="preserve"> – </w:t>
      </w:r>
      <w:r w:rsidRPr="00FA395B">
        <w:t>will depend on these three factors:</w:t>
      </w:r>
    </w:p>
    <w:p w14:paraId="0C0B0B2B" w14:textId="77777777" w:rsidR="00FA395B" w:rsidRPr="00FA395B" w:rsidRDefault="00FA395B" w:rsidP="00FA395B">
      <w:pPr>
        <w:numPr>
          <w:ilvl w:val="0"/>
          <w:numId w:val="1"/>
        </w:numPr>
      </w:pPr>
      <w:r w:rsidRPr="00FA395B">
        <w:t>The strength of the vision: What is the preferred future for doctoral writing, and to what extent is this vision collectively embraced and sustained?</w:t>
      </w:r>
    </w:p>
    <w:p w14:paraId="0966BC38" w14:textId="77777777" w:rsidR="00312ECB" w:rsidRDefault="00FA395B" w:rsidP="00F2372B">
      <w:pPr>
        <w:numPr>
          <w:ilvl w:val="0"/>
          <w:numId w:val="1"/>
        </w:numPr>
      </w:pPr>
      <w:r w:rsidRPr="00FA395B">
        <w:t>The alignment of local, regional, and global forces: Do these forces enable or obstruct the vision?</w:t>
      </w:r>
    </w:p>
    <w:p w14:paraId="1850B023" w14:textId="75383C1B" w:rsidR="00FA395B" w:rsidRPr="00FA395B" w:rsidRDefault="00FA395B" w:rsidP="00F2372B">
      <w:pPr>
        <w:numPr>
          <w:ilvl w:val="0"/>
          <w:numId w:val="1"/>
        </w:numPr>
      </w:pPr>
      <w:r w:rsidRPr="00FA395B">
        <w:t>The role of historical memory and institutional legacies: How do dominant interpretations of history</w:t>
      </w:r>
      <w:r w:rsidR="00E378AB">
        <w:t xml:space="preserve"> – </w:t>
      </w:r>
      <w:r w:rsidRPr="00FA395B">
        <w:t>often shaped by those in power</w:t>
      </w:r>
      <w:r w:rsidR="00E378AB">
        <w:t xml:space="preserve"> – </w:t>
      </w:r>
      <w:r w:rsidRPr="00FA395B">
        <w:t>either entrench the status quo or, alternatively, how can re-engagement with suppressed or alternative histories help loosen these anchors and support transformative visions?</w:t>
      </w:r>
    </w:p>
    <w:p w14:paraId="1DEE61A5" w14:textId="77777777" w:rsidR="00E378AB" w:rsidRDefault="00E378AB" w:rsidP="00FA395B">
      <w:pPr>
        <w:rPr>
          <w:b/>
          <w:bCs/>
        </w:rPr>
      </w:pPr>
    </w:p>
    <w:p w14:paraId="04F4D43C" w14:textId="61A4332F" w:rsidR="00FA395B" w:rsidRPr="00FA395B" w:rsidRDefault="00FA395B" w:rsidP="00FA395B">
      <w:pPr>
        <w:rPr>
          <w:b/>
          <w:bCs/>
        </w:rPr>
      </w:pPr>
      <w:r w:rsidRPr="00FA395B">
        <w:rPr>
          <w:b/>
          <w:bCs/>
        </w:rPr>
        <w:t xml:space="preserve">Theme 2: Why </w:t>
      </w:r>
      <w:r w:rsidR="0005238D" w:rsidRPr="00FA395B">
        <w:rPr>
          <w:b/>
          <w:bCs/>
        </w:rPr>
        <w:t>ask this question again</w:t>
      </w:r>
      <w:r w:rsidR="0005238D">
        <w:rPr>
          <w:b/>
          <w:bCs/>
        </w:rPr>
        <w:t xml:space="preserve"> – </w:t>
      </w:r>
      <w:r w:rsidR="0005238D" w:rsidRPr="00FA395B">
        <w:rPr>
          <w:b/>
          <w:bCs/>
        </w:rPr>
        <w:t>and now? (the relevance)</w:t>
      </w:r>
    </w:p>
    <w:p w14:paraId="3F7EADA1" w14:textId="77777777" w:rsidR="00FA395B" w:rsidRPr="00FA395B" w:rsidRDefault="00FA395B" w:rsidP="00FA395B">
      <w:r w:rsidRPr="00FA395B">
        <w:t>This question is important on several levels.</w:t>
      </w:r>
    </w:p>
    <w:p w14:paraId="79D7DD4A" w14:textId="0862B259" w:rsidR="00FA395B" w:rsidRPr="00FA395B" w:rsidRDefault="00FA395B" w:rsidP="00FA395B">
      <w:r w:rsidRPr="00FA395B">
        <w:t>Using the language of instrumental rationality and the discourse of business</w:t>
      </w:r>
      <w:r w:rsidR="00E378AB">
        <w:t xml:space="preserve"> – </w:t>
      </w:r>
      <w:r w:rsidRPr="00FA395B">
        <w:t xml:space="preserve">which shapes the </w:t>
      </w:r>
      <w:r w:rsidR="00E378AB">
        <w:t xml:space="preserve">current </w:t>
      </w:r>
      <w:r w:rsidRPr="00FA395B">
        <w:t>context of most higher education institutions</w:t>
      </w:r>
      <w:r w:rsidR="00E378AB">
        <w:t xml:space="preserve"> – </w:t>
      </w:r>
      <w:r w:rsidRPr="00FA395B">
        <w:t>there are questions of cost-benefit analysis: Is engaging in doctoral writing worth it? Should it be supported by society? Does it advantage or disadvantage graduates? Extending this narrative further, what is the role of competition in ranking humans and institutions (as in the ‘top-ranked universities’ lists)?</w:t>
      </w:r>
    </w:p>
    <w:p w14:paraId="69515DFC" w14:textId="77777777" w:rsidR="00FA395B" w:rsidRPr="00FA395B" w:rsidRDefault="00FA395B" w:rsidP="00FA395B">
      <w:r w:rsidRPr="00FA395B">
        <w:t>From an ecological and emerging AI paradigm perspective, questions arise about the sustainability of doctoral programs and the current forms that doctoral writing takes. Should PhDs continue to be supported? Should they still exist? Or should they be replaced by other forms of research outputs?</w:t>
      </w:r>
    </w:p>
    <w:p w14:paraId="718F815B" w14:textId="77777777" w:rsidR="00FA395B" w:rsidRPr="00FA395B" w:rsidRDefault="00FA395B" w:rsidP="00FA395B">
      <w:r w:rsidRPr="00FA395B">
        <w:lastRenderedPageBreak/>
        <w:t>Finally, using the language of self-development, we might ask: Is this process soul-crushing or self-empowering?</w:t>
      </w:r>
    </w:p>
    <w:p w14:paraId="3939FF03" w14:textId="77777777" w:rsidR="00185E38" w:rsidRDefault="00185E38" w:rsidP="00FA395B">
      <w:pPr>
        <w:rPr>
          <w:b/>
          <w:bCs/>
        </w:rPr>
      </w:pPr>
    </w:p>
    <w:p w14:paraId="3308657A" w14:textId="7319CD99" w:rsidR="00FA395B" w:rsidRPr="00FA395B" w:rsidRDefault="00FA395B" w:rsidP="00FA395B">
      <w:r w:rsidRPr="00FA395B">
        <w:rPr>
          <w:b/>
          <w:bCs/>
        </w:rPr>
        <w:t xml:space="preserve">Theme 3: How </w:t>
      </w:r>
      <w:r w:rsidR="0005238D" w:rsidRPr="00FA395B">
        <w:rPr>
          <w:b/>
          <w:bCs/>
        </w:rPr>
        <w:t xml:space="preserve">can we nurture sustainability </w:t>
      </w:r>
      <w:r w:rsidRPr="00FA395B">
        <w:rPr>
          <w:b/>
          <w:bCs/>
        </w:rPr>
        <w:t xml:space="preserve">and EDIA (Equality, Diversity, Inclusion, Access) in </w:t>
      </w:r>
      <w:r w:rsidR="0005238D" w:rsidRPr="00FA395B">
        <w:rPr>
          <w:b/>
          <w:bCs/>
        </w:rPr>
        <w:t>doctoral writing?</w:t>
      </w:r>
      <w:r w:rsidR="0005238D">
        <w:rPr>
          <w:b/>
          <w:bCs/>
        </w:rPr>
        <w:t xml:space="preserve"> </w:t>
      </w:r>
      <w:r w:rsidR="0005238D" w:rsidRPr="00FA395B">
        <w:rPr>
          <w:b/>
          <w:bCs/>
        </w:rPr>
        <w:t>(the values underpinning doctoral writing, including epistemic virtues and vices</w:t>
      </w:r>
      <w:r w:rsidRPr="00FA395B">
        <w:rPr>
          <w:i/>
          <w:iCs/>
        </w:rPr>
        <w:t>)</w:t>
      </w:r>
    </w:p>
    <w:p w14:paraId="2B62BA5F" w14:textId="77777777" w:rsidR="0005238D" w:rsidRDefault="0005238D" w:rsidP="00FA395B"/>
    <w:p w14:paraId="6429D93A" w14:textId="3E9F3C84" w:rsidR="00FA395B" w:rsidRPr="00FA395B" w:rsidRDefault="00FA395B" w:rsidP="00FA395B">
      <w:r w:rsidRPr="00FA395B">
        <w:t>This question, of course, depends on who “we” are. Institutions of higher education have often been accused of leaning towards leftist politics or being wholly informed by progressive worldviews. If this is the case, then EDIA remains a critical imperative</w:t>
      </w:r>
      <w:r w:rsidR="00E378AB">
        <w:t xml:space="preserve"> – </w:t>
      </w:r>
      <w:r w:rsidRPr="00FA395B">
        <w:t>one that must be nurtured, regardless of cost (as evidenced in widely publici</w:t>
      </w:r>
      <w:r w:rsidR="00B56AB4">
        <w:t>s</w:t>
      </w:r>
      <w:r w:rsidRPr="00FA395B">
        <w:t>ed cases like Columbia vs. Harvard). However, if “we” refers to those who determine how universities and doctoral writing are funded, the situation becomes far murkier. At best, inclusion efforts may be tokenistic, with doctoral writing supported only insofar as it aligns with broader socio-economic agendas.</w:t>
      </w:r>
    </w:p>
    <w:p w14:paraId="555A58CF" w14:textId="77777777" w:rsidR="00615363" w:rsidRPr="00615363" w:rsidRDefault="00615363" w:rsidP="00615363">
      <w:pPr>
        <w:rPr>
          <w:i/>
          <w:iCs/>
        </w:rPr>
      </w:pPr>
    </w:p>
    <w:p w14:paraId="186F1E36" w14:textId="61277346" w:rsidR="00FA395B" w:rsidRPr="00FA395B" w:rsidRDefault="00FA395B" w:rsidP="00FA395B">
      <w:pPr>
        <w:rPr>
          <w:b/>
          <w:bCs/>
        </w:rPr>
      </w:pPr>
      <w:r w:rsidRPr="00FA395B">
        <w:rPr>
          <w:b/>
          <w:bCs/>
        </w:rPr>
        <w:t xml:space="preserve">Theme 4: What </w:t>
      </w:r>
      <w:r w:rsidR="0005238D" w:rsidRPr="00FA395B">
        <w:rPr>
          <w:b/>
          <w:bCs/>
        </w:rPr>
        <w:t xml:space="preserve">challenges and opportunities </w:t>
      </w:r>
      <w:proofErr w:type="gramStart"/>
      <w:r w:rsidR="0005238D" w:rsidRPr="00FA395B">
        <w:rPr>
          <w:b/>
          <w:bCs/>
        </w:rPr>
        <w:t>does</w:t>
      </w:r>
      <w:proofErr w:type="gramEnd"/>
      <w:r w:rsidR="0005238D" w:rsidRPr="00FA395B">
        <w:rPr>
          <w:b/>
          <w:bCs/>
        </w:rPr>
        <w:t xml:space="preserve"> </w:t>
      </w:r>
      <w:r w:rsidRPr="00FA395B">
        <w:rPr>
          <w:b/>
          <w:bCs/>
        </w:rPr>
        <w:t xml:space="preserve">GenAI (Generative AI) </w:t>
      </w:r>
      <w:r w:rsidR="0005238D" w:rsidRPr="00FA395B">
        <w:rPr>
          <w:b/>
          <w:bCs/>
        </w:rPr>
        <w:t>afford doctoral writing</w:t>
      </w:r>
      <w:r w:rsidRPr="00FA395B">
        <w:rPr>
          <w:b/>
          <w:bCs/>
        </w:rPr>
        <w:t>?</w:t>
      </w:r>
    </w:p>
    <w:p w14:paraId="79E6C3D2" w14:textId="3E234AAE" w:rsidR="00FA395B" w:rsidRDefault="00FA395B" w:rsidP="00FA395B">
      <w:pPr>
        <w:rPr>
          <w:b/>
          <w:bCs/>
        </w:rPr>
      </w:pPr>
      <w:r w:rsidRPr="00FA395B">
        <w:rPr>
          <w:b/>
          <w:bCs/>
        </w:rPr>
        <w:t>(</w:t>
      </w:r>
      <w:r w:rsidR="0005238D">
        <w:rPr>
          <w:b/>
          <w:bCs/>
        </w:rPr>
        <w:t>a</w:t>
      </w:r>
      <w:r w:rsidRPr="00FA395B">
        <w:rPr>
          <w:b/>
          <w:bCs/>
        </w:rPr>
        <w:t xml:space="preserve">nd Learning Technologies </w:t>
      </w:r>
      <w:r w:rsidR="0005238D" w:rsidRPr="0005238D">
        <w:rPr>
          <w:b/>
          <w:bCs/>
        </w:rPr>
        <w:t>generally</w:t>
      </w:r>
      <w:r w:rsidRPr="00FA395B">
        <w:rPr>
          <w:b/>
          <w:bCs/>
        </w:rPr>
        <w:t>)</w:t>
      </w:r>
    </w:p>
    <w:p w14:paraId="4D89CDF4" w14:textId="77777777" w:rsidR="0005238D" w:rsidRPr="00FA395B" w:rsidRDefault="0005238D" w:rsidP="00FA395B">
      <w:pPr>
        <w:rPr>
          <w:b/>
          <w:bCs/>
        </w:rPr>
      </w:pPr>
    </w:p>
    <w:p w14:paraId="24F35710" w14:textId="49C29300" w:rsidR="00FA395B" w:rsidRPr="00FA395B" w:rsidRDefault="00FA395B" w:rsidP="00FA395B">
      <w:r w:rsidRPr="00FA395B">
        <w:t>AI is disrupting existing models of education, writing, and creativity in multiple ways. First, it challenges the belief in human superiority over machines, especially the notion that certain aspects of human identity and intellect can never be replaced. Yet just as humans are often replaced by other humans, they may also be replaced by humans operating behind AI. In this transition, certain individuals and groups</w:t>
      </w:r>
      <w:r w:rsidR="00E378AB">
        <w:t xml:space="preserve"> – </w:t>
      </w:r>
      <w:r w:rsidRPr="00FA395B">
        <w:t>already privileged in academic production and distribution (e.g., through language, geography, or political economy within global ‘power-knowledge’ structures, as described by Foucault)</w:t>
      </w:r>
      <w:r w:rsidR="00E378AB">
        <w:t xml:space="preserve"> – </w:t>
      </w:r>
      <w:r w:rsidRPr="00FA395B">
        <w:t>will continue to benefit. Consequently, academic language may become more standardi</w:t>
      </w:r>
      <w:r w:rsidR="00B56AB4">
        <w:t>s</w:t>
      </w:r>
      <w:r w:rsidRPr="00FA395B">
        <w:t>ed and diplomatic.</w:t>
      </w:r>
    </w:p>
    <w:p w14:paraId="265FB963" w14:textId="23952214" w:rsidR="00FA395B" w:rsidRPr="00FA395B" w:rsidRDefault="00FA395B" w:rsidP="00FA395B">
      <w:r w:rsidRPr="00FA395B">
        <w:t>Second, GenAI may initially introduce a period of chaos: too many platforms, too many tools, and too little understanding of this rapidly evolving field</w:t>
      </w:r>
      <w:r w:rsidR="00E378AB">
        <w:t xml:space="preserve"> – </w:t>
      </w:r>
      <w:r w:rsidRPr="00FA395B">
        <w:t>a kind of ‘wild west’ for doctoral and academic writing.</w:t>
      </w:r>
    </w:p>
    <w:p w14:paraId="4157C3C3" w14:textId="21AE3BD2" w:rsidR="00FA395B" w:rsidRPr="00FA395B" w:rsidRDefault="00FA395B" w:rsidP="00FA395B">
      <w:r w:rsidRPr="00FA395B">
        <w:t>Third, GenAI holds the potential to become a “great equali</w:t>
      </w:r>
      <w:r w:rsidR="00B56AB4">
        <w:t>s</w:t>
      </w:r>
      <w:r w:rsidRPr="00FA395B">
        <w:t>er,” supporting individuals who speak minority languages, who come from lower socio-economic backgrounds, or who experience various forms of marginali</w:t>
      </w:r>
      <w:r w:rsidR="00B56AB4">
        <w:t>s</w:t>
      </w:r>
      <w:r w:rsidRPr="00FA395B">
        <w:t>ation.</w:t>
      </w:r>
    </w:p>
    <w:p w14:paraId="5EFDDD8A" w14:textId="59D8EE0E" w:rsidR="00FA395B" w:rsidRPr="00FA395B" w:rsidRDefault="00FA395B" w:rsidP="00FA395B">
      <w:r w:rsidRPr="00FA395B">
        <w:t>Fourth, as with all technologies, AI will enhance productivity, but this will also raise expectations</w:t>
      </w:r>
      <w:r w:rsidR="00E378AB">
        <w:t xml:space="preserve"> – </w:t>
      </w:r>
      <w:r w:rsidRPr="00FA395B">
        <w:t>intensifying the pressure to meet ever-evolving</w:t>
      </w:r>
      <w:r w:rsidR="00B56AB4">
        <w:t>-increasing</w:t>
      </w:r>
      <w:r w:rsidRPr="00FA395B">
        <w:t xml:space="preserve"> academic norms.</w:t>
      </w:r>
    </w:p>
    <w:p w14:paraId="4C28DED5" w14:textId="4DE55CC9" w:rsidR="00FA395B" w:rsidRPr="00FA395B" w:rsidRDefault="00FA395B" w:rsidP="00FA395B">
      <w:r w:rsidRPr="00FA395B">
        <w:t>And fifth, as Marshall McLuhan famously said, we will “create these technologies, which will then create us”</w:t>
      </w:r>
      <w:r w:rsidR="00E378AB">
        <w:t xml:space="preserve"> – </w:t>
      </w:r>
      <w:r w:rsidRPr="00FA395B">
        <w:t>pushing us further toward the idea of a “global/world brain” (N. Tesla, P. Russell, H.G. Wells), a “global/hive mind” (K. Kelly), the “noosphere” (P. Teilhard de Chardin), or even a form of “collective/planetary consciousness” (E. Durkheim, A. Gramsci, W. Irwin Thompson).</w:t>
      </w:r>
    </w:p>
    <w:p w14:paraId="41042D02" w14:textId="77777777" w:rsidR="00FA395B" w:rsidRDefault="00FA395B"/>
    <w:sectPr w:rsidR="00FA3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E25B9"/>
    <w:multiLevelType w:val="multilevel"/>
    <w:tmpl w:val="C1BE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8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5B"/>
    <w:rsid w:val="0004179C"/>
    <w:rsid w:val="0005238D"/>
    <w:rsid w:val="000A0B3E"/>
    <w:rsid w:val="00185E38"/>
    <w:rsid w:val="002B71FC"/>
    <w:rsid w:val="00312ECB"/>
    <w:rsid w:val="003A3D75"/>
    <w:rsid w:val="00432EA5"/>
    <w:rsid w:val="00523E6D"/>
    <w:rsid w:val="005C07BB"/>
    <w:rsid w:val="00615363"/>
    <w:rsid w:val="0084283A"/>
    <w:rsid w:val="008B7898"/>
    <w:rsid w:val="009E6990"/>
    <w:rsid w:val="00B56AB4"/>
    <w:rsid w:val="00E378AB"/>
    <w:rsid w:val="00FA3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4D91"/>
  <w15:chartTrackingRefBased/>
  <w15:docId w15:val="{D84D3562-F6AD-4EB9-951C-DDBDBB3E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A3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A3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95B"/>
    <w:rPr>
      <w:rFonts w:eastAsiaTheme="majorEastAsia" w:cstheme="majorBidi"/>
      <w:color w:val="272727" w:themeColor="text1" w:themeTint="D8"/>
    </w:rPr>
  </w:style>
  <w:style w:type="paragraph" w:styleId="Title">
    <w:name w:val="Title"/>
    <w:basedOn w:val="Normal"/>
    <w:next w:val="Normal"/>
    <w:link w:val="TitleChar"/>
    <w:uiPriority w:val="10"/>
    <w:qFormat/>
    <w:rsid w:val="00FA3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95B"/>
    <w:pPr>
      <w:spacing w:before="160"/>
      <w:jc w:val="center"/>
    </w:pPr>
    <w:rPr>
      <w:i/>
      <w:iCs/>
      <w:color w:val="404040" w:themeColor="text1" w:themeTint="BF"/>
    </w:rPr>
  </w:style>
  <w:style w:type="character" w:customStyle="1" w:styleId="QuoteChar">
    <w:name w:val="Quote Char"/>
    <w:basedOn w:val="DefaultParagraphFont"/>
    <w:link w:val="Quote"/>
    <w:uiPriority w:val="29"/>
    <w:rsid w:val="00FA395B"/>
    <w:rPr>
      <w:i/>
      <w:iCs/>
      <w:color w:val="404040" w:themeColor="text1" w:themeTint="BF"/>
    </w:rPr>
  </w:style>
  <w:style w:type="paragraph" w:styleId="ListParagraph">
    <w:name w:val="List Paragraph"/>
    <w:basedOn w:val="Normal"/>
    <w:uiPriority w:val="34"/>
    <w:qFormat/>
    <w:rsid w:val="00FA395B"/>
    <w:pPr>
      <w:ind w:left="720"/>
      <w:contextualSpacing/>
    </w:pPr>
  </w:style>
  <w:style w:type="character" w:styleId="IntenseEmphasis">
    <w:name w:val="Intense Emphasis"/>
    <w:basedOn w:val="DefaultParagraphFont"/>
    <w:uiPriority w:val="21"/>
    <w:qFormat/>
    <w:rsid w:val="00FA395B"/>
    <w:rPr>
      <w:i/>
      <w:iCs/>
      <w:color w:val="2F5496" w:themeColor="accent1" w:themeShade="BF"/>
    </w:rPr>
  </w:style>
  <w:style w:type="paragraph" w:styleId="IntenseQuote">
    <w:name w:val="Intense Quote"/>
    <w:basedOn w:val="Normal"/>
    <w:next w:val="Normal"/>
    <w:link w:val="IntenseQuoteChar"/>
    <w:uiPriority w:val="30"/>
    <w:qFormat/>
    <w:rsid w:val="00FA3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95B"/>
    <w:rPr>
      <w:i/>
      <w:iCs/>
      <w:color w:val="2F5496" w:themeColor="accent1" w:themeShade="BF"/>
    </w:rPr>
  </w:style>
  <w:style w:type="character" w:styleId="IntenseReference">
    <w:name w:val="Intense Reference"/>
    <w:basedOn w:val="DefaultParagraphFont"/>
    <w:uiPriority w:val="32"/>
    <w:qFormat/>
    <w:rsid w:val="00FA39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929">
      <w:bodyDiv w:val="1"/>
      <w:marLeft w:val="0"/>
      <w:marRight w:val="0"/>
      <w:marTop w:val="0"/>
      <w:marBottom w:val="0"/>
      <w:divBdr>
        <w:top w:val="none" w:sz="0" w:space="0" w:color="auto"/>
        <w:left w:val="none" w:sz="0" w:space="0" w:color="auto"/>
        <w:bottom w:val="none" w:sz="0" w:space="0" w:color="auto"/>
        <w:right w:val="none" w:sz="0" w:space="0" w:color="auto"/>
      </w:divBdr>
      <w:divsChild>
        <w:div w:id="814103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91391">
      <w:bodyDiv w:val="1"/>
      <w:marLeft w:val="0"/>
      <w:marRight w:val="0"/>
      <w:marTop w:val="0"/>
      <w:marBottom w:val="0"/>
      <w:divBdr>
        <w:top w:val="none" w:sz="0" w:space="0" w:color="auto"/>
        <w:left w:val="none" w:sz="0" w:space="0" w:color="auto"/>
        <w:bottom w:val="none" w:sz="0" w:space="0" w:color="auto"/>
        <w:right w:val="none" w:sz="0" w:space="0" w:color="auto"/>
      </w:divBdr>
    </w:div>
    <w:div w:id="200946986">
      <w:bodyDiv w:val="1"/>
      <w:marLeft w:val="0"/>
      <w:marRight w:val="0"/>
      <w:marTop w:val="0"/>
      <w:marBottom w:val="0"/>
      <w:divBdr>
        <w:top w:val="none" w:sz="0" w:space="0" w:color="auto"/>
        <w:left w:val="none" w:sz="0" w:space="0" w:color="auto"/>
        <w:bottom w:val="none" w:sz="0" w:space="0" w:color="auto"/>
        <w:right w:val="none" w:sz="0" w:space="0" w:color="auto"/>
      </w:divBdr>
    </w:div>
    <w:div w:id="380787201">
      <w:bodyDiv w:val="1"/>
      <w:marLeft w:val="0"/>
      <w:marRight w:val="0"/>
      <w:marTop w:val="0"/>
      <w:marBottom w:val="0"/>
      <w:divBdr>
        <w:top w:val="none" w:sz="0" w:space="0" w:color="auto"/>
        <w:left w:val="none" w:sz="0" w:space="0" w:color="auto"/>
        <w:bottom w:val="none" w:sz="0" w:space="0" w:color="auto"/>
        <w:right w:val="none" w:sz="0" w:space="0" w:color="auto"/>
      </w:divBdr>
      <w:divsChild>
        <w:div w:id="1847866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821488">
      <w:bodyDiv w:val="1"/>
      <w:marLeft w:val="0"/>
      <w:marRight w:val="0"/>
      <w:marTop w:val="0"/>
      <w:marBottom w:val="0"/>
      <w:divBdr>
        <w:top w:val="none" w:sz="0" w:space="0" w:color="auto"/>
        <w:left w:val="none" w:sz="0" w:space="0" w:color="auto"/>
        <w:bottom w:val="none" w:sz="0" w:space="0" w:color="auto"/>
        <w:right w:val="none" w:sz="0" w:space="0" w:color="auto"/>
      </w:divBdr>
    </w:div>
    <w:div w:id="521823755">
      <w:bodyDiv w:val="1"/>
      <w:marLeft w:val="0"/>
      <w:marRight w:val="0"/>
      <w:marTop w:val="0"/>
      <w:marBottom w:val="0"/>
      <w:divBdr>
        <w:top w:val="none" w:sz="0" w:space="0" w:color="auto"/>
        <w:left w:val="none" w:sz="0" w:space="0" w:color="auto"/>
        <w:bottom w:val="none" w:sz="0" w:space="0" w:color="auto"/>
        <w:right w:val="none" w:sz="0" w:space="0" w:color="auto"/>
      </w:divBdr>
    </w:div>
    <w:div w:id="828324810">
      <w:bodyDiv w:val="1"/>
      <w:marLeft w:val="0"/>
      <w:marRight w:val="0"/>
      <w:marTop w:val="0"/>
      <w:marBottom w:val="0"/>
      <w:divBdr>
        <w:top w:val="none" w:sz="0" w:space="0" w:color="auto"/>
        <w:left w:val="none" w:sz="0" w:space="0" w:color="auto"/>
        <w:bottom w:val="none" w:sz="0" w:space="0" w:color="auto"/>
        <w:right w:val="none" w:sz="0" w:space="0" w:color="auto"/>
      </w:divBdr>
      <w:divsChild>
        <w:div w:id="1875344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545844">
      <w:bodyDiv w:val="1"/>
      <w:marLeft w:val="0"/>
      <w:marRight w:val="0"/>
      <w:marTop w:val="0"/>
      <w:marBottom w:val="0"/>
      <w:divBdr>
        <w:top w:val="none" w:sz="0" w:space="0" w:color="auto"/>
        <w:left w:val="none" w:sz="0" w:space="0" w:color="auto"/>
        <w:bottom w:val="none" w:sz="0" w:space="0" w:color="auto"/>
        <w:right w:val="none" w:sz="0" w:space="0" w:color="auto"/>
      </w:divBdr>
    </w:div>
    <w:div w:id="1395617263">
      <w:bodyDiv w:val="1"/>
      <w:marLeft w:val="0"/>
      <w:marRight w:val="0"/>
      <w:marTop w:val="0"/>
      <w:marBottom w:val="0"/>
      <w:divBdr>
        <w:top w:val="none" w:sz="0" w:space="0" w:color="auto"/>
        <w:left w:val="none" w:sz="0" w:space="0" w:color="auto"/>
        <w:bottom w:val="none" w:sz="0" w:space="0" w:color="auto"/>
        <w:right w:val="none" w:sz="0" w:space="0" w:color="auto"/>
      </w:divBdr>
      <w:divsChild>
        <w:div w:id="52556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471567">
      <w:bodyDiv w:val="1"/>
      <w:marLeft w:val="0"/>
      <w:marRight w:val="0"/>
      <w:marTop w:val="0"/>
      <w:marBottom w:val="0"/>
      <w:divBdr>
        <w:top w:val="none" w:sz="0" w:space="0" w:color="auto"/>
        <w:left w:val="none" w:sz="0" w:space="0" w:color="auto"/>
        <w:bottom w:val="none" w:sz="0" w:space="0" w:color="auto"/>
        <w:right w:val="none" w:sz="0" w:space="0" w:color="auto"/>
      </w:divBdr>
    </w:div>
    <w:div w:id="1845897905">
      <w:bodyDiv w:val="1"/>
      <w:marLeft w:val="0"/>
      <w:marRight w:val="0"/>
      <w:marTop w:val="0"/>
      <w:marBottom w:val="0"/>
      <w:divBdr>
        <w:top w:val="none" w:sz="0" w:space="0" w:color="auto"/>
        <w:left w:val="none" w:sz="0" w:space="0" w:color="auto"/>
        <w:bottom w:val="none" w:sz="0" w:space="0" w:color="auto"/>
        <w:right w:val="none" w:sz="0" w:space="0" w:color="auto"/>
      </w:divBdr>
    </w:div>
    <w:div w:id="20842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Milojevic</dc:creator>
  <cp:keywords/>
  <dc:description/>
  <cp:lastModifiedBy>Ivana Milojevic</cp:lastModifiedBy>
  <cp:revision>2</cp:revision>
  <dcterms:created xsi:type="dcterms:W3CDTF">2025-06-14T11:06:00Z</dcterms:created>
  <dcterms:modified xsi:type="dcterms:W3CDTF">2025-06-14T11:06:00Z</dcterms:modified>
</cp:coreProperties>
</file>