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color w:val="ffffff"/>
          <w:sz w:val="46"/>
          <w:szCs w:val="46"/>
        </w:rPr>
      </w:pPr>
      <w:r w:rsidDel="00000000" w:rsidR="00000000" w:rsidRPr="00000000">
        <w:rPr>
          <w:color w:val="ffffff"/>
          <w:sz w:val="46"/>
          <w:szCs w:val="46"/>
          <w:rtl w:val="0"/>
        </w:rPr>
        <w:t xml:space="preserve">Modelling for Fossil Fuel Decommissioning: Fossil Fuel Retirement Model</w:t>
      </w:r>
      <w:r w:rsidDel="00000000" w:rsidR="00000000" w:rsidRPr="00000000">
        <w:rPr>
          <w:rFonts w:ascii="Arial" w:cs="Arial" w:eastAsia="Arial" w:hAnsi="Arial"/>
          <w:color w:val="ffffff"/>
          <w:sz w:val="58"/>
          <w:szCs w:val="58"/>
          <w:rtl w:val="0"/>
        </w:rPr>
        <w:t xml:space="preserve"> </w:t>
      </w:r>
      <w:r w:rsidDel="00000000" w:rsidR="00000000" w:rsidRPr="00000000">
        <w:rPr>
          <w:color w:val="ffffff"/>
          <w:sz w:val="46"/>
          <w:szCs w:val="46"/>
          <w:rtl w:val="0"/>
        </w:rPr>
        <w:t xml:space="preserve">: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-14283</wp:posOffset>
                </wp:positionH>
                <wp:positionV relativeFrom="paragraph">
                  <wp:posOffset>-94293</wp:posOffset>
                </wp:positionV>
                <wp:extent cx="6124575" cy="1709738"/>
                <wp:effectExtent b="0" l="0" r="0" t="0"/>
                <wp:wrapNone/>
                <wp:docPr id="211660038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98000" y="3304327"/>
                          <a:ext cx="6096000" cy="95134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-14283</wp:posOffset>
                </wp:positionH>
                <wp:positionV relativeFrom="paragraph">
                  <wp:posOffset>-94293</wp:posOffset>
                </wp:positionV>
                <wp:extent cx="6124575" cy="1709738"/>
                <wp:effectExtent b="0" l="0" r="0" t="0"/>
                <wp:wrapNone/>
                <wp:docPr id="211660038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17097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rPr>
          <w:b w:val="0"/>
          <w:bCs w:val="0"/>
          <w:color w:val="ffffff"/>
          <w:sz w:val="40"/>
          <w:szCs w:val="40"/>
        </w:rPr>
      </w:pPr>
      <w:r w:rsidDel="00000000" w:rsidR="00000000" w:rsidRPr="00000000">
        <w:rPr>
          <w:b w:val="0"/>
          <w:bCs w:val="0"/>
          <w:color w:val="ffffff"/>
          <w:sz w:val="36"/>
          <w:szCs w:val="36"/>
          <w:rtl w:val="0"/>
        </w:rPr>
        <w:t xml:space="preserve">Hands-on Lecture 3: Pricing Assumptions within FFRM</w:t>
      </w:r>
      <w:r w:rsidDel="00000000" w:rsidR="00000000" w:rsidRPr="00000000">
        <w:rPr>
          <w:b w:val="0"/>
          <w:bCs w:val="0"/>
          <w:color w:val="ffffff"/>
          <w:sz w:val="34"/>
          <w:szCs w:val="34"/>
          <w:rtl w:val="0"/>
        </w:rPr>
        <w:t xml:space="preserve"> </w:t>
      </w:r>
      <w:r w:rsidDel="00000000" w:rsidR="00000000" w:rsidRPr="00000000">
        <w:rPr>
          <w:b w:val="0"/>
          <w:bCs w:val="0"/>
          <w:color w:val="ffffff"/>
          <w:sz w:val="40"/>
          <w:szCs w:val="40"/>
          <w:rtl w:val="0"/>
        </w:rPr>
        <w:t xml:space="preserve"> </w:t>
      </w:r>
    </w:p>
    <w:tbl>
      <w:tblPr>
        <w:tblStyle w:val="Table1"/>
        <w:tblpPr w:leftFromText="180" w:rightFromText="180" w:topFromText="0" w:bottomFromText="0" w:vertAnchor="text" w:horzAnchor="text" w:tblpX="0" w:tblpY="242"/>
        <w:tblW w:w="9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694"/>
        <w:gridCol w:w="6095"/>
        <w:tblGridChange w:id="0">
          <w:tblGrid>
            <w:gridCol w:w="562"/>
            <w:gridCol w:w="2694"/>
            <w:gridCol w:w="609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2"/>
            <w:shd w:fill="002060" w:val="clear"/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spacing w:after="0" w:before="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Section Title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05">
            <w:pPr>
              <w:pStyle w:val="Heading2"/>
              <w:spacing w:after="0" w:before="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Contents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pStyle w:val="Heading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ind w:left="0" w:firstLine="0"/>
              <w:rPr>
                <w:rFonts w:ascii="Play" w:cs="Play" w:eastAsia="Play" w:hAnsi="Play"/>
                <w:color w:val="0f4761"/>
              </w:rPr>
            </w:pPr>
            <w:r w:rsidDel="00000000" w:rsidR="00000000" w:rsidRPr="00000000">
              <w:rPr>
                <w:rFonts w:ascii="Play" w:cs="Play" w:eastAsia="Play" w:hAnsi="Play"/>
                <w:color w:val="0f4761"/>
                <w:rtl w:val="0"/>
              </w:rPr>
              <w:t xml:space="preserve">Calibrating PPA Regime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bookmarkStart w:colFirst="0" w:colLast="0" w:name="_heading=h.2ss426klrfmk" w:id="0"/>
            <w:bookmarkEnd w:id="0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Instructions for users to provide data to reflect a PPA regime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pStyle w:val="Heading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color w:val="0f4761"/>
                <w:rtl w:val="0"/>
              </w:rPr>
              <w:t xml:space="preserve">Calibrating Market Regime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pStyle w:val="Heading2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lk0xldj99qs6" w:id="1"/>
            <w:bookmarkEnd w:id="1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Instructions for users to provide data to reflect a Market Regime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0" w:line="278.00000000000006" w:lineRule="auto"/>
        <w:rPr>
          <w:b w:val="0"/>
          <w:bCs w:val="0"/>
          <w:color w:val="0f4761"/>
          <w:sz w:val="32"/>
          <w:szCs w:val="32"/>
        </w:rPr>
      </w:pPr>
      <w:r w:rsidDel="00000000" w:rsidR="00000000" w:rsidRPr="00000000">
        <w:rPr>
          <w:b w:val="0"/>
          <w:bCs w:val="0"/>
          <w:color w:val="0f4761"/>
          <w:sz w:val="32"/>
          <w:szCs w:val="32"/>
          <w:rtl w:val="0"/>
        </w:rPr>
        <w:t xml:space="preserve">Learning Objectives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By the end of this exercise, you will be able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Identify the key inputs that define the PPA and the Market regime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Determine where the relevant corresponding inputs are entered in the FFRM input file to represent each regime.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Bdr>
          <w:bottom w:color="000000" w:space="1" w:sz="6" w:val="single"/>
        </w:pBdr>
        <w:rPr>
          <w:b w:val="0"/>
          <w:bCs w:val="0"/>
          <w:color w:val="0f4761"/>
        </w:rPr>
      </w:pPr>
      <w:r w:rsidDel="00000000" w:rsidR="00000000" w:rsidRPr="00000000">
        <w:rPr>
          <w:b w:val="0"/>
          <w:bCs w:val="0"/>
          <w:color w:val="0f4761"/>
          <w:rtl w:val="0"/>
        </w:rPr>
        <w:t xml:space="preserve">1. Calibrating PPA Regime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 calibrate FFRM for the PPA regime, you will update two tabs: </w:t>
      </w:r>
      <w:r w:rsidDel="00000000" w:rsidR="00000000" w:rsidRPr="00000000">
        <w:rPr>
          <w:b w:val="1"/>
          <w:bCs w:val="1"/>
          <w:rtl w:val="0"/>
        </w:rPr>
        <w:t xml:space="preserve">Plant Data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FC_PPA</w:t>
      </w:r>
      <w:r w:rsidDel="00000000" w:rsidR="00000000" w:rsidRPr="00000000">
        <w:rPr>
          <w:rtl w:val="0"/>
        </w:rPr>
        <w:t xml:space="preserve">. In this hands-on, you will apply the PPA regime to the Philippines proxy plants identified in </w:t>
      </w:r>
      <w:r w:rsidDel="00000000" w:rsidR="00000000" w:rsidRPr="00000000">
        <w:rPr>
          <w:b w:val="1"/>
          <w:bCs w:val="1"/>
          <w:rtl w:val="0"/>
        </w:rPr>
        <w:t xml:space="preserve">Hands-on Exercise 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Building a case study from scratch:</w:t>
        <w:br w:type="textWrapping"/>
      </w:r>
      <w:r w:rsidDel="00000000" w:rsidR="00000000" w:rsidRPr="00000000">
        <w:rPr>
          <w:rtl w:val="0"/>
        </w:rPr>
        <w:t xml:space="preserve">Plant-level contract information is not consistently available in public sources. In many countries, PPAs are commercially confidential, and only partial details may be disclosed through regulators, utilities, or investor documents. 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For this hands-on exercise we use a proxy classification (PPA vs Market), which can be found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When developing a new country case study, you would typically:</w:t>
        <w:br w:type="textWrapping"/>
        <w:t xml:space="preserve">(i) identify the market structure;</w:t>
        <w:br w:type="textWrapping"/>
        <w:t xml:space="preserve">(ii) classify plants using the best available evidence (e.g., regulatory approvals/filings, utility procurement documents, annual reports); and</w:t>
        <w:br w:type="textWrapping"/>
        <w:t xml:space="preserve">(iii) document any assumptions where contract details cannot be verified.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Hands-On Task: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bCs w:val="1"/>
          <w:rtl w:val="0"/>
        </w:rPr>
        <w:t xml:space="preserve">Plant Data tab</w:t>
      </w:r>
      <w:r w:rsidDel="00000000" w:rsidR="00000000" w:rsidRPr="00000000">
        <w:rPr>
          <w:rtl w:val="0"/>
        </w:rPr>
        <w:t xml:space="preserve">, identify the Philippines proxy plants assigned to </w:t>
      </w:r>
      <w:r w:rsidDel="00000000" w:rsidR="00000000" w:rsidRPr="00000000">
        <w:rPr>
          <w:b w:val="1"/>
          <w:bCs w:val="1"/>
          <w:rtl w:val="0"/>
        </w:rPr>
        <w:t xml:space="preserve">PPA</w:t>
      </w:r>
      <w:r w:rsidDel="00000000" w:rsidR="00000000" w:rsidRPr="00000000">
        <w:rPr>
          <w:rtl w:val="0"/>
        </w:rPr>
        <w:t xml:space="preserve"> and ensure that the following fields have been completed: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Plant Name: The name of the power plant.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Variable Cost: Plant-specific variable costs (operational, maintenance, and fuel costs) in $/MWh.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Fixed Costs: Plant-specific fixed costs in $/MWh.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PPA Price: This is the PPA price expressed in $/MWh for the electricity sold. If a PPA price cannot be sourced, PPA costs can be proxied by summing </w:t>
      </w:r>
      <w:r w:rsidDel="00000000" w:rsidR="00000000" w:rsidRPr="00000000">
        <w:rPr>
          <w:b w:val="1"/>
          <w:bCs w:val="1"/>
          <w:rtl w:val="0"/>
        </w:rPr>
        <w:t xml:space="preserve">Variable Cost + Fixed Cost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Price Regime: This column specifies the commercial regime for the plant. For the PPA plants in the Philippines proxy dataset, select </w:t>
      </w:r>
      <w:r w:rsidDel="00000000" w:rsidR="00000000" w:rsidRPr="00000000">
        <w:rPr>
          <w:b w:val="1"/>
          <w:bCs w:val="1"/>
          <w:rtl w:val="0"/>
        </w:rPr>
        <w:t xml:space="preserve">PPA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These plant-level fields were entered in </w:t>
      </w:r>
      <w:r w:rsidDel="00000000" w:rsidR="00000000" w:rsidRPr="00000000">
        <w:rPr>
          <w:rtl w:val="0"/>
        </w:rPr>
        <w:t xml:space="preserve">Hands-on Exercise 2. </w:t>
      </w:r>
      <w:r w:rsidDel="00000000" w:rsidR="00000000" w:rsidRPr="00000000">
        <w:rPr>
          <w:rtl w:val="0"/>
        </w:rPr>
        <w:t xml:space="preserve">To build upon this, you now need to update the </w:t>
      </w:r>
      <w:r w:rsidDel="00000000" w:rsidR="00000000" w:rsidRPr="00000000">
        <w:rPr>
          <w:b w:val="1"/>
          <w:bCs w:val="1"/>
          <w:rtl w:val="0"/>
        </w:rPr>
        <w:t xml:space="preserve">FC_PPA</w:t>
      </w:r>
      <w:r w:rsidDel="00000000" w:rsidR="00000000" w:rsidRPr="00000000">
        <w:rPr>
          <w:rtl w:val="0"/>
        </w:rPr>
        <w:t xml:space="preserve"> tab. Alongside the Plant Data tab, the </w:t>
      </w:r>
      <w:r w:rsidDel="00000000" w:rsidR="00000000" w:rsidRPr="00000000">
        <w:rPr>
          <w:b w:val="1"/>
          <w:bCs w:val="1"/>
          <w:rtl w:val="0"/>
        </w:rPr>
        <w:t xml:space="preserve">FC_PPA</w:t>
      </w:r>
      <w:r w:rsidDel="00000000" w:rsidR="00000000" w:rsidRPr="00000000">
        <w:rPr>
          <w:rtl w:val="0"/>
        </w:rPr>
        <w:t xml:space="preserve"> tab needs to be populated to reflect the PPA regime. The FC_PPA tab is calibrated based on the data collected from the Plant Data tab:</w:t>
      </w:r>
    </w:p>
    <w:p w:rsidR="00000000" w:rsidDel="00000000" w:rsidP="00000000" w:rsidRDefault="00000000" w:rsidRPr="00000000" w14:paraId="0000001C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Hands-On Task: Hands-On Task (FC_PPA): </w:t>
      </w:r>
      <w:r w:rsidDel="00000000" w:rsidR="00000000" w:rsidRPr="00000000">
        <w:rPr>
          <w:rtl w:val="0"/>
        </w:rPr>
        <w:t xml:space="preserve">Open the FC_PPA tab and enter values in $/MW/year for each plant assigned to PPA (from the Plant Data tab) for the years the PPA is active. If a fixed capacity payment is not available, calculate a proxy fixed payment using the 85% PLF benchmark: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600" w:right="600" w:firstLine="0"/>
        <w:rPr/>
      </w:pPr>
      <w:r w:rsidDel="00000000" w:rsidR="00000000" w:rsidRPr="00000000">
        <w:rPr>
          <w:color w:val="c00000"/>
          <w:sz w:val="30"/>
          <w:szCs w:val="30"/>
          <w:rtl w:val="0"/>
        </w:rPr>
        <w:t xml:space="preserve">FC_PPA ($/MW/year) = PPA Price ($/MWh) × 0.85 × 8,760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943600" cy="914400"/>
                <wp:effectExtent b="0" l="0" r="0" t="0"/>
                <wp:docPr id="2116600387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24700" y="1096200"/>
                          <a:ext cx="6615900" cy="715800"/>
                        </a:xfrm>
                        <a:prstGeom prst="rect">
                          <a:avLst/>
                        </a:prstGeom>
                        <a:solidFill>
                          <a:srgbClr val="A4C2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buntu" w:cs="Ubuntu" w:eastAsia="Ubuntu" w:hAnsi="Ubuntu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Please note, </w:t>
                            </w:r>
                            <w:r w:rsidDel="00000000" w:rsidR="00000000" w:rsidRPr="00000000">
                              <w:rPr>
                                <w:rFonts w:ascii="Ubuntu" w:cs="Ubuntu" w:eastAsia="Ubuntu" w:hAnsi="Ubuntu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FC_PPA active years = years when (PPA is active) AND (plant is still operating/available).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buntu" w:cs="Ubuntu" w:eastAsia="Ubuntu" w:hAnsi="Ubuntu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914400"/>
                <wp:effectExtent b="0" l="0" r="0" t="0"/>
                <wp:docPr id="211660038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The values represent the PPA fixed cost at 85% of the plant load factor (PLF), expressed in $/MW/year.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85% PLF is a standard benchmark.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Plants decide operation and retirement based on profits. Given that a PPA has a fixed availability component, it needs to be represented as a fixed annual $/MW stream.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Values should be displayed for the years during which the PPA is still active.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FC_PPA is the fixed yearly payment part of a PPA, written in a standard unit: $/MW/year (per MW of capacity, per year).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 a PPA, a power plant often gets paid even if it doesn’t run much, as long as it is available.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Because FFRM is profit-maximising, in the PPA regime revenue is reflected as a fixed payment plus any energy-related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pBdr>
          <w:bottom w:color="000000" w:space="1" w:sz="6" w:val="single"/>
        </w:pBdr>
        <w:rPr>
          <w:b w:val="0"/>
          <w:bCs w:val="0"/>
          <w:color w:val="0f4761"/>
        </w:rPr>
      </w:pPr>
      <w:bookmarkStart w:colFirst="0" w:colLast="0" w:name="_heading=h.mav8r8eskw1q" w:id="2"/>
      <w:bookmarkEnd w:id="2"/>
      <w:r w:rsidDel="00000000" w:rsidR="00000000" w:rsidRPr="00000000">
        <w:rPr>
          <w:b w:val="0"/>
          <w:bCs w:val="0"/>
          <w:color w:val="0f4761"/>
          <w:rtl w:val="0"/>
        </w:rPr>
        <w:t xml:space="preserve">2. Calibrating Market Regime </w:t>
      </w:r>
    </w:p>
    <w:p w:rsidR="00000000" w:rsidDel="00000000" w:rsidP="00000000" w:rsidRDefault="00000000" w:rsidRPr="00000000" w14:paraId="00000027">
      <w:pPr>
        <w:widowControl w:val="0"/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As previously mentioned in </w:t>
      </w:r>
      <w:r w:rsidDel="00000000" w:rsidR="00000000" w:rsidRPr="00000000">
        <w:rPr>
          <w:b w:val="1"/>
          <w:bCs w:val="1"/>
          <w:rtl w:val="0"/>
        </w:rPr>
        <w:t xml:space="preserve">Hands-on Exercise 2</w:t>
      </w:r>
      <w:r w:rsidDel="00000000" w:rsidR="00000000" w:rsidRPr="00000000">
        <w:rPr>
          <w:rtl w:val="0"/>
        </w:rPr>
        <w:t xml:space="preserve">, you will use the </w:t>
      </w:r>
      <w:r w:rsidDel="00000000" w:rsidR="00000000" w:rsidRPr="00000000">
        <w:rPr>
          <w:b w:val="1"/>
          <w:bCs w:val="1"/>
          <w:rtl w:val="0"/>
        </w:rPr>
        <w:t xml:space="preserve">Plant Data</w:t>
      </w:r>
      <w:r w:rsidDel="00000000" w:rsidR="00000000" w:rsidRPr="00000000">
        <w:rPr>
          <w:rtl w:val="0"/>
        </w:rPr>
        <w:t xml:space="preserve"> tab to represent plants operating under the </w:t>
      </w:r>
      <w:r w:rsidDel="00000000" w:rsidR="00000000" w:rsidRPr="00000000">
        <w:rPr>
          <w:b w:val="1"/>
          <w:bCs w:val="1"/>
          <w:rtl w:val="0"/>
        </w:rPr>
        <w:t xml:space="preserve">Market</w:t>
      </w:r>
      <w:r w:rsidDel="00000000" w:rsidR="00000000" w:rsidRPr="00000000">
        <w:rPr>
          <w:rtl w:val="0"/>
        </w:rPr>
        <w:t xml:space="preserve"> regime.</w:t>
      </w:r>
    </w:p>
    <w:p w:rsidR="00000000" w:rsidDel="00000000" w:rsidP="00000000" w:rsidRDefault="00000000" w:rsidRPr="00000000" w14:paraId="00000028">
      <w:pPr>
        <w:widowControl w:val="0"/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Hands-On Task (Plant Data – Market plants):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bCs w:val="1"/>
          <w:rtl w:val="0"/>
        </w:rPr>
        <w:t xml:space="preserve">Plant Data</w:t>
      </w:r>
      <w:r w:rsidDel="00000000" w:rsidR="00000000" w:rsidRPr="00000000">
        <w:rPr>
          <w:rtl w:val="0"/>
        </w:rPr>
        <w:t xml:space="preserve"> tab, identify the Philippines proxy plants assigned to the </w:t>
      </w:r>
      <w:r w:rsidDel="00000000" w:rsidR="00000000" w:rsidRPr="00000000">
        <w:rPr>
          <w:b w:val="1"/>
          <w:bCs w:val="1"/>
          <w:rtl w:val="0"/>
        </w:rPr>
        <w:t xml:space="preserve">Market</w:t>
      </w:r>
      <w:r w:rsidDel="00000000" w:rsidR="00000000" w:rsidRPr="00000000">
        <w:rPr>
          <w:rtl w:val="0"/>
        </w:rPr>
        <w:t xml:space="preserve"> regime and ensure the following fields are completed: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Plant Name:</w:t>
      </w:r>
      <w:r w:rsidDel="00000000" w:rsidR="00000000" w:rsidRPr="00000000">
        <w:rPr>
          <w:rtl w:val="0"/>
        </w:rPr>
        <w:t xml:space="preserve"> The name of the power plant.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Market Price (Average):</w:t>
      </w:r>
      <w:r w:rsidDel="00000000" w:rsidR="00000000" w:rsidRPr="00000000">
        <w:rPr>
          <w:rtl w:val="0"/>
        </w:rPr>
        <w:t xml:space="preserve"> The wholesale electricity price the plant receives when it sells output into the market. For this hands-on, use the </w:t>
      </w:r>
      <w:r w:rsidDel="00000000" w:rsidR="00000000" w:rsidRPr="00000000">
        <w:rPr>
          <w:b w:val="1"/>
          <w:bCs w:val="1"/>
          <w:rtl w:val="0"/>
        </w:rPr>
        <w:t xml:space="preserve">Philippines proxy Market Price</w:t>
      </w:r>
      <w:r w:rsidDel="00000000" w:rsidR="00000000" w:rsidRPr="00000000">
        <w:rPr>
          <w:rtl w:val="0"/>
        </w:rPr>
        <w:t xml:space="preserve"> values provided in the course dataset. If building a new case study from scratch, you may use wholesale market prices or proxy values such as shadow prices/dual values from capacity expansion models (e.g., OSeMOSYS) where open-source market price data is not available.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Price Regime:</w:t>
      </w:r>
      <w:r w:rsidDel="00000000" w:rsidR="00000000" w:rsidRPr="00000000">
        <w:rPr>
          <w:rtl w:val="0"/>
        </w:rPr>
        <w:t xml:space="preserve"> This column specifies the commercial regime for the </w:t>
      </w:r>
      <w:r w:rsidDel="00000000" w:rsidR="00000000" w:rsidRPr="00000000">
        <w:rPr>
          <w:b w:val="1"/>
          <w:bCs w:val="1"/>
          <w:rtl w:val="0"/>
        </w:rPr>
        <w:t xml:space="preserve">plant</w:t>
      </w:r>
      <w:r w:rsidDel="00000000" w:rsidR="00000000" w:rsidRPr="00000000">
        <w:rPr>
          <w:rtl w:val="0"/>
        </w:rPr>
        <w:t xml:space="preserve">. For the Market plants in the Philippines proxy dataset, select </w:t>
      </w:r>
      <w:r w:rsidDel="00000000" w:rsidR="00000000" w:rsidRPr="00000000">
        <w:rPr>
          <w:b w:val="1"/>
          <w:bCs w:val="1"/>
          <w:rtl w:val="0"/>
        </w:rPr>
        <w:t xml:space="preserve">Market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Alongside the Plant Data tab, the </w:t>
      </w:r>
      <w:r w:rsidDel="00000000" w:rsidR="00000000" w:rsidRPr="00000000">
        <w:rPr>
          <w:b w:val="1"/>
          <w:bCs w:val="1"/>
          <w:rtl w:val="0"/>
        </w:rPr>
        <w:t xml:space="preserve">Price Distribution</w:t>
      </w:r>
      <w:r w:rsidDel="00000000" w:rsidR="00000000" w:rsidRPr="00000000">
        <w:rPr>
          <w:rtl w:val="0"/>
        </w:rPr>
        <w:t xml:space="preserve"> tab is used to reflect the Market regime. This sheet “splits” one yearly average electricity price into a set of price blocks (e.g., </w:t>
      </w:r>
      <w:r w:rsidDel="00000000" w:rsidR="00000000" w:rsidRPr="00000000">
        <w:rPr>
          <w:b w:val="1"/>
          <w:bCs w:val="1"/>
          <w:rtl w:val="0"/>
        </w:rPr>
        <w:t xml:space="preserve">peak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off-peak</w:t>
      </w:r>
      <w:r w:rsidDel="00000000" w:rsidR="00000000" w:rsidRPr="00000000">
        <w:rPr>
          <w:rtl w:val="0"/>
        </w:rPr>
        <w:t xml:space="preserve">). FFRM uses these blocks to reflect that plants earn more during peak-price hours and less off-peak.</w:t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Hands-On Task (Price Distribution):</w:t>
      </w:r>
      <w:r w:rsidDel="00000000" w:rsidR="00000000" w:rsidRPr="00000000">
        <w:rPr>
          <w:rtl w:val="0"/>
        </w:rPr>
        <w:t xml:space="preserve"> Open the </w:t>
      </w:r>
      <w:r w:rsidDel="00000000" w:rsidR="00000000" w:rsidRPr="00000000">
        <w:rPr>
          <w:b w:val="1"/>
          <w:bCs w:val="1"/>
          <w:rtl w:val="0"/>
        </w:rPr>
        <w:t xml:space="preserve">Price Distribution</w:t>
      </w:r>
      <w:r w:rsidDel="00000000" w:rsidR="00000000" w:rsidRPr="00000000">
        <w:rPr>
          <w:rtl w:val="0"/>
        </w:rPr>
        <w:t xml:space="preserve"> tab and enter the </w:t>
      </w:r>
      <w:r w:rsidDel="00000000" w:rsidR="00000000" w:rsidRPr="00000000">
        <w:rPr>
          <w:b w:val="1"/>
          <w:bCs w:val="1"/>
          <w:rtl w:val="0"/>
        </w:rPr>
        <w:t xml:space="preserve">Philippines proxy multipliers</w:t>
      </w:r>
      <w:r w:rsidDel="00000000" w:rsidR="00000000" w:rsidRPr="00000000">
        <w:rPr>
          <w:rtl w:val="0"/>
        </w:rPr>
        <w:t xml:space="preserve"> provided in the course dataset for each price block (e.g., peak/off-peak). These multipliers are applied to the annual average Market Price to compute block prices.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405438" cy="1931751"/>
            <wp:effectExtent b="0" l="0" r="0" t="0"/>
            <wp:docPr id="211660039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19317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24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To determine price distribution when developing a new case study from scratch, use each country’s hourly price data to calculate the average price within each time block, then express each block as a multiple of the annual average price: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multiplier = (average block price) ÷ (annual average price).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720" w:left="1440" w:right="1440" w:header="7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CCG 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b w:val="1"/>
        <w:bCs w:val="1"/>
        <w:rtl w:val="0"/>
      </w:rPr>
      <w:t xml:space="preserve">6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Page |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-25397</wp:posOffset>
              </wp:positionH>
              <wp:positionV relativeFrom="paragraph">
                <wp:posOffset>-76197</wp:posOffset>
              </wp:positionV>
              <wp:extent cx="0" cy="25400"/>
              <wp:effectExtent b="0" l="0" r="0" t="0"/>
              <wp:wrapNone/>
              <wp:docPr id="211660038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6317" y="3780000"/>
                        <a:ext cx="5939367" cy="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rgbClr val="82CAE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-25397</wp:posOffset>
              </wp:positionH>
              <wp:positionV relativeFrom="paragraph">
                <wp:posOffset>-76197</wp:posOffset>
              </wp:positionV>
              <wp:extent cx="0" cy="25400"/>
              <wp:effectExtent b="0" l="0" r="0" t="0"/>
              <wp:wrapNone/>
              <wp:docPr id="211660038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-76197</wp:posOffset>
          </wp:positionH>
          <wp:positionV relativeFrom="paragraph">
            <wp:posOffset>-391156</wp:posOffset>
          </wp:positionV>
          <wp:extent cx="720000" cy="720000"/>
          <wp:effectExtent b="0" l="0" r="0" t="0"/>
          <wp:wrapNone/>
          <wp:docPr descr="A red background with white text&#10;&#10;Description automatically generated" id="2116600390" name="image1.png"/>
          <a:graphic>
            <a:graphicData uri="http://schemas.openxmlformats.org/drawingml/2006/picture">
              <pic:pic>
                <pic:nvPicPr>
                  <pic:cNvPr descr="A red background with whit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b w:val="1"/>
      <w:bCs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  <w:ind w:left="720" w:hanging="360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b w:val="1"/>
      <w:bCs w:val="1"/>
      <w:color w:val="c00000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2EEB"/>
    <w:rPr>
      <w:rFonts w:asciiTheme="majorHAnsi" w:cstheme="majorBidi" w:eastAsiaTheme="majorEastAsia" w:hAnsiTheme="majorHAnsi"/>
      <w:b w:val="1"/>
      <w:bCs w:val="1"/>
      <w:color w:val="00000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B6B53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80313"/>
    <w:rPr>
      <w:rFonts w:asciiTheme="majorHAnsi" w:cstheme="majorBidi" w:eastAsiaTheme="majorEastAsia" w:hAnsiTheme="majorHAnsi"/>
      <w:b w:val="1"/>
      <w:bCs w:val="1"/>
      <w:color w:val="c00000"/>
      <w:spacing w:val="-10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F0E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0E9B"/>
  </w:style>
  <w:style w:type="paragraph" w:styleId="Footer">
    <w:name w:val="footer"/>
    <w:basedOn w:val="Normal"/>
    <w:link w:val="FooterChar"/>
    <w:uiPriority w:val="99"/>
    <w:unhideWhenUsed w:val="1"/>
    <w:rsid w:val="000F0E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0E9B"/>
  </w:style>
  <w:style w:type="paragraph" w:styleId="NoSpacing">
    <w:name w:val="No Spacing"/>
    <w:uiPriority w:val="1"/>
    <w:qFormat w:val="1"/>
    <w:rsid w:val="00480313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B765A7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EE1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E1BD4"/>
    <w:rPr>
      <w:color w:val="605e5c"/>
      <w:shd w:color="auto" w:fill="e1dfdd" w:val="cle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E1BD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E1BD4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A950AA"/>
    <w:rPr>
      <w:rFonts w:ascii="Times New Roman" w:cs="Times New Roman" w:hAnsi="Times New Roman"/>
    </w:rPr>
  </w:style>
  <w:style w:type="table" w:styleId="TableGrid">
    <w:name w:val="Table Grid"/>
    <w:basedOn w:val="TableNormal"/>
    <w:uiPriority w:val="39"/>
    <w:rsid w:val="005813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74523"/>
    <w:rPr>
      <w:color w:val="96607d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github.com/FossilFuelRetirementModel/ffrm_python/tree/new-input-format/Examples#:~:text=..-,FFRM%20Data%20Input%20File.xlsx,-Updates%20to%20inpu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5NxLBt70VXyuP+GIwHpkC8zbg==">CgMxLjAyDmguMnNzNDI2a2xyZm1rMg5oLmxrMHhsZGo5OXFzNjIOaC5tYXY4cjhlc2t3MXE4AHIhMUVaaXVyVnJub1M1Y0xHM2ZOdXlabzJQd0VLQWxfNjkt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2024-11-20T08:17:00Z</dcterms:created>
  <dc:creator>Hannah Luscombe</dc:creator>
</cp:coreProperties>
</file>