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087C" w14:textId="42EB7322" w:rsidR="00CC0332" w:rsidRPr="001E6687" w:rsidRDefault="00CC0332" w:rsidP="001E6687">
      <w:pPr>
        <w:pStyle w:val="Heading2"/>
        <w:rPr>
          <w:rStyle w:val="normaltextrun"/>
          <w:rFonts w:ascii="Poppins" w:hAnsi="Poppins" w:cs="Poppins"/>
          <w:b/>
          <w:bCs/>
          <w:color w:val="auto"/>
        </w:rPr>
      </w:pPr>
      <w:r w:rsidRPr="001E6687">
        <w:rPr>
          <w:rStyle w:val="normaltextrun"/>
          <w:rFonts w:ascii="Poppins" w:hAnsi="Poppins" w:cs="Poppins"/>
          <w:b/>
          <w:bCs/>
          <w:color w:val="auto"/>
        </w:rPr>
        <w:t>Competencies in the curriculum</w:t>
      </w:r>
    </w:p>
    <w:p w14:paraId="3EE527CB" w14:textId="77777777" w:rsidR="00CC0332" w:rsidRDefault="00CC0332" w:rsidP="00AA63F5">
      <w:pPr>
        <w:pStyle w:val="paragraph"/>
        <w:spacing w:before="0" w:beforeAutospacing="0" w:after="0" w:afterAutospacing="0"/>
        <w:textAlignment w:val="baseline"/>
        <w:rPr>
          <w:rStyle w:val="normaltextrun"/>
          <w:rFonts w:ascii="Poppins" w:eastAsiaTheme="majorEastAsia" w:hAnsi="Poppins" w:cs="Poppins"/>
          <w:b/>
          <w:bCs/>
        </w:rPr>
      </w:pPr>
    </w:p>
    <w:p w14:paraId="4B4413E9" w14:textId="62284B7F"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Embedding key sustainability competencies into core physics curriculum</w:t>
      </w:r>
      <w:r>
        <w:rPr>
          <w:rStyle w:val="eop"/>
          <w:rFonts w:ascii="Poppins" w:eastAsiaTheme="majorEastAsia" w:hAnsi="Poppins" w:cs="Poppins"/>
        </w:rPr>
        <w:t> </w:t>
      </w:r>
    </w:p>
    <w:p w14:paraId="0DBCBE12" w14:textId="7E6253C2"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A team of academic and non-academic staff collaborated on a scholarship project which explored how to embed key sustainability competencies in the core physics curriculum. Module content was audited by paid student interns and associate lecturers who identified connections between the content and sustainability competencies.</w:t>
      </w:r>
      <w:r>
        <w:rPr>
          <w:rStyle w:val="normaltextrun"/>
          <w:rFonts w:eastAsiaTheme="majorEastAsia"/>
        </w:rPr>
        <w:t> </w:t>
      </w:r>
    </w:p>
    <w:p w14:paraId="339D7E81"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rPr>
      </w:pPr>
    </w:p>
    <w:p w14:paraId="1CD465A6" w14:textId="3AB457EA"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A cross functional team met regularly to design assessment tasks to embed across three core physics modules. These tasks focused on encouraging students to reflect on the sustainability competencies that they experienced in their learning. Students were supported to visualise the overlap between institutional employability frameworks and sustainability competencies to help them recognise their relevance.</w:t>
      </w:r>
      <w:r>
        <w:rPr>
          <w:rStyle w:val="normaltextrun"/>
          <w:rFonts w:eastAsiaTheme="majorEastAsia"/>
        </w:rPr>
        <w:t> </w:t>
      </w:r>
    </w:p>
    <w:p w14:paraId="5DA26973"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rPr>
      </w:pPr>
    </w:p>
    <w:p w14:paraId="1B4C521F" w14:textId="5022AF0D"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Physics is a subject that could be deemed challenging to embed sustainability in due to the mathematical and theoretical focus of much of the curriculum, particularly at higher levels. The hope is that if the pilot is successful within physics, then other subject areas could replicate the approach, particularly the reflective assessment questions.</w:t>
      </w:r>
      <w:r>
        <w:rPr>
          <w:rStyle w:val="eop"/>
          <w:rFonts w:ascii="Poppins" w:eastAsiaTheme="majorEastAsia" w:hAnsi="Poppins" w:cs="Poppins"/>
        </w:rPr>
        <w:t> </w:t>
      </w:r>
    </w:p>
    <w:p w14:paraId="27E67BA8"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b/>
          <w:bCs/>
        </w:rPr>
      </w:pPr>
    </w:p>
    <w:p w14:paraId="59F7274F" w14:textId="219D3AD3"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Author</w:t>
      </w:r>
      <w:r>
        <w:rPr>
          <w:rStyle w:val="normaltextrun"/>
          <w:rFonts w:ascii="Poppins" w:eastAsiaTheme="majorEastAsia" w:hAnsi="Poppins" w:cs="Poppins"/>
        </w:rPr>
        <w:t>: Martin Braun, Open University, Staff Tutor in Physical Sciences</w:t>
      </w:r>
    </w:p>
    <w:p w14:paraId="23CD9A17"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b/>
          <w:bCs/>
        </w:rPr>
      </w:pPr>
    </w:p>
    <w:p w14:paraId="79ABD671" w14:textId="492B78FF"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504E9799" w14:textId="2CBF5816"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"It feels meaningful and supportive. It states that it was a pilot and that they want to implement sustainability into other courses, as well."</w:t>
      </w:r>
    </w:p>
    <w:p w14:paraId="034AAF61" w14:textId="77777777" w:rsidR="00AD0739" w:rsidRDefault="00AD0739"/>
    <w:p w14:paraId="40887CF6" w14:textId="5AFEBBE2"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Using Chemistry home experiments to connect with sustainability</w:t>
      </w:r>
      <w:r>
        <w:rPr>
          <w:rStyle w:val="eop"/>
          <w:rFonts w:ascii="Poppins" w:eastAsiaTheme="majorEastAsia" w:hAnsi="Poppins" w:cs="Poppins"/>
        </w:rPr>
        <w:t> </w:t>
      </w:r>
    </w:p>
    <w:p w14:paraId="4F2EBDE3" w14:textId="569F6A78"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S248 is a level 2 Chemistry module. Sustainability is embedded within the module's learning outcomes. Relevant UN sustainable Development goals are discussed and signposted to within module content. Students are supported to consider sustainability from a practical perspective through home experiments.</w:t>
      </w:r>
      <w:r>
        <w:rPr>
          <w:rStyle w:val="normaltextrun"/>
          <w:rFonts w:eastAsiaTheme="majorEastAsia"/>
        </w:rPr>
        <w:t> </w:t>
      </w:r>
    </w:p>
    <w:p w14:paraId="319B96B6"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rPr>
      </w:pPr>
    </w:p>
    <w:p w14:paraId="4F37831B" w14:textId="6187CBA0"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 xml:space="preserve">One experiment is linked to producing more sustainable polymers (plastics) from renewable sources (UNSDG 12 Responsible consumption &amp; production) and a second explores using adsorbents to remove pollutants from water (SDG 6 Clean water and sanitation). Students compare their </w:t>
      </w:r>
      <w:r>
        <w:rPr>
          <w:rStyle w:val="normaltextrun"/>
          <w:rFonts w:ascii="Poppins" w:eastAsiaTheme="majorEastAsia" w:hAnsi="Poppins" w:cs="Poppins"/>
        </w:rPr>
        <w:lastRenderedPageBreak/>
        <w:t>results with their peers using an online forum and discuss the relevancy of criteria for chemists developing new materials.</w:t>
      </w:r>
      <w:r>
        <w:rPr>
          <w:rStyle w:val="normaltextrun"/>
          <w:rFonts w:eastAsiaTheme="majorEastAsia"/>
        </w:rPr>
        <w:t> </w:t>
      </w:r>
    </w:p>
    <w:p w14:paraId="0642BBCE"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b/>
          <w:bCs/>
        </w:rPr>
      </w:pPr>
    </w:p>
    <w:p w14:paraId="1FAD9441" w14:textId="3384BC90"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Author</w:t>
      </w:r>
      <w:r>
        <w:rPr>
          <w:rStyle w:val="normaltextrun"/>
          <w:rFonts w:ascii="Poppins" w:eastAsiaTheme="majorEastAsia" w:hAnsi="Poppins" w:cs="Poppins"/>
        </w:rPr>
        <w:t>: The Open University's Responsible Futures Audit 2024</w:t>
      </w:r>
    </w:p>
    <w:p w14:paraId="611D353D" w14:textId="76EF9DDB"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389044C5" w14:textId="3C0AF42E"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"It would help with pressing present-day environmental issues (plastic use, water pollution), potentially providing solutions to these."</w:t>
      </w:r>
    </w:p>
    <w:p w14:paraId="2376ACF8" w14:textId="77777777"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p>
    <w:p w14:paraId="4F1A4635" w14:textId="797AA211" w:rsidR="00AA63F5" w:rsidRDefault="00AA63F5" w:rsidP="00AA63F5">
      <w:pPr>
        <w:pStyle w:val="paragraph"/>
        <w:spacing w:before="0" w:beforeAutospacing="0" w:after="0" w:afterAutospacing="0"/>
        <w:textAlignment w:val="baseline"/>
        <w:rPr>
          <w:rFonts w:ascii="Segoe UI" w:hAnsi="Segoe UI" w:cs="Segoe UI"/>
          <w:sz w:val="18"/>
          <w:szCs w:val="18"/>
        </w:rPr>
      </w:pPr>
      <w:r w:rsidRPr="00AA63F5">
        <w:rPr>
          <w:rStyle w:val="normaltextrun"/>
          <w:rFonts w:ascii="Poppins" w:eastAsiaTheme="majorEastAsia" w:hAnsi="Poppins" w:cs="Poppins"/>
          <w:b/>
          <w:bCs/>
        </w:rPr>
        <w:t>The</w:t>
      </w:r>
      <w:r>
        <w:rPr>
          <w:rStyle w:val="normaltextrun"/>
          <w:rFonts w:ascii="Poppins" w:eastAsiaTheme="majorEastAsia" w:hAnsi="Poppins" w:cs="Poppins"/>
          <w:b/>
          <w:bCs/>
        </w:rPr>
        <w:t xml:space="preserve"> value of reflection as an Environmental Manager</w:t>
      </w:r>
      <w:r>
        <w:rPr>
          <w:rStyle w:val="eop"/>
          <w:rFonts w:ascii="Poppins" w:eastAsiaTheme="majorEastAsia" w:hAnsi="Poppins" w:cs="Poppins"/>
        </w:rPr>
        <w:t> </w:t>
      </w:r>
    </w:p>
    <w:p w14:paraId="3E04477B" w14:textId="0C3A0352"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T330</w:t>
      </w:r>
      <w:r>
        <w:rPr>
          <w:rStyle w:val="normaltextrun"/>
          <w:rFonts w:eastAsiaTheme="majorEastAsia"/>
        </w:rPr>
        <w:t> </w:t>
      </w:r>
      <w:r>
        <w:rPr>
          <w:rStyle w:val="normaltextrun"/>
          <w:rFonts w:ascii="Poppins" w:eastAsiaTheme="majorEastAsia" w:hAnsi="Poppins" w:cs="Poppins"/>
        </w:rPr>
        <w:t>is a level 3 Engineering module that first ran in Autumn 2025. It explores complex and often emotive environmental challenges such as climate change, biodiversity, and disaster risk reduction.</w:t>
      </w:r>
      <w:r>
        <w:rPr>
          <w:rStyle w:val="normaltextrun"/>
          <w:rFonts w:eastAsiaTheme="majorEastAsia"/>
        </w:rPr>
        <w:t> </w:t>
      </w:r>
    </w:p>
    <w:p w14:paraId="534888B4" w14:textId="77777777" w:rsidR="00AA63F5" w:rsidRDefault="00AA63F5" w:rsidP="00AA63F5">
      <w:pPr>
        <w:pStyle w:val="paragraph"/>
        <w:spacing w:before="0" w:beforeAutospacing="0" w:after="0" w:afterAutospacing="0"/>
        <w:textAlignment w:val="baseline"/>
        <w:rPr>
          <w:rFonts w:ascii="Segoe UI" w:hAnsi="Segoe UI" w:cs="Segoe UI"/>
          <w:sz w:val="18"/>
          <w:szCs w:val="18"/>
        </w:rPr>
      </w:pPr>
    </w:p>
    <w:p w14:paraId="4537068F" w14:textId="20B1383C"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Environmental managers need to understand different viewpoints and evidence when making decisions. They also need to recognise their own connection to the people and places they work with and how it may impact their decisions.</w:t>
      </w:r>
      <w:r>
        <w:rPr>
          <w:rStyle w:val="normaltextrun"/>
          <w:rFonts w:eastAsiaTheme="majorEastAsia"/>
        </w:rPr>
        <w:t> </w:t>
      </w:r>
    </w:p>
    <w:p w14:paraId="76BB1192" w14:textId="77777777" w:rsidR="00AA63F5" w:rsidRDefault="00AA63F5" w:rsidP="00AA63F5">
      <w:pPr>
        <w:pStyle w:val="paragraph"/>
        <w:spacing w:before="0" w:beforeAutospacing="0" w:after="0" w:afterAutospacing="0"/>
        <w:textAlignment w:val="baseline"/>
        <w:rPr>
          <w:rFonts w:ascii="Segoe UI" w:hAnsi="Segoe UI" w:cs="Segoe UI"/>
          <w:sz w:val="18"/>
          <w:szCs w:val="18"/>
        </w:rPr>
      </w:pPr>
    </w:p>
    <w:p w14:paraId="6B0383B9" w14:textId="019DF3A5"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The module’s first assessment is a short reflective piece which draws on activities students have completed in the module’s 2nd block. The block content and activities guide students to consider how Environmental managers might think and feel as a human, citizen and manager.</w:t>
      </w:r>
      <w:r>
        <w:rPr>
          <w:rStyle w:val="normaltextrun"/>
          <w:rFonts w:eastAsiaTheme="majorEastAsia"/>
        </w:rPr>
        <w:t> </w:t>
      </w:r>
    </w:p>
    <w:p w14:paraId="360EAA5F" w14:textId="77777777" w:rsidR="00AA63F5" w:rsidRDefault="00AA63F5" w:rsidP="00AA63F5">
      <w:pPr>
        <w:pStyle w:val="paragraph"/>
        <w:spacing w:before="0" w:beforeAutospacing="0" w:after="0" w:afterAutospacing="0"/>
        <w:textAlignment w:val="baseline"/>
        <w:rPr>
          <w:rFonts w:ascii="Segoe UI" w:hAnsi="Segoe UI" w:cs="Segoe UI"/>
          <w:sz w:val="18"/>
          <w:szCs w:val="18"/>
        </w:rPr>
      </w:pPr>
    </w:p>
    <w:p w14:paraId="00E14001" w14:textId="6BAAC654"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Students are introduced to the UNESCO sustainability competencies framework and as part of the assessment asked to share which competency areas they are most interested in developing and why. Students explore concepts of global citizenship, behaviour change, immunity to change, systems thinking and eco-anxiety. Regular reflective activities and discussions with peers and tutors help build student confidence and skills for the assessment. They are guided to capture reflections e.g. about how their personal environmental values shape their career choices and actions, in an e-journal. The reflective journal entries contribute to the assessment.</w:t>
      </w:r>
    </w:p>
    <w:p w14:paraId="14B3D2C6" w14:textId="77777777" w:rsidR="00AA63F5" w:rsidRDefault="00AA63F5" w:rsidP="00AA63F5">
      <w:pPr>
        <w:pStyle w:val="paragraph"/>
        <w:spacing w:before="0" w:beforeAutospacing="0" w:after="0" w:afterAutospacing="0"/>
        <w:textAlignment w:val="baseline"/>
        <w:rPr>
          <w:rFonts w:ascii="Segoe UI" w:hAnsi="Segoe UI" w:cs="Segoe UI"/>
          <w:sz w:val="18"/>
          <w:szCs w:val="18"/>
        </w:rPr>
      </w:pPr>
    </w:p>
    <w:p w14:paraId="5C611A23" w14:textId="51A9A18A"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The Open University's Responsible Futures Audit 2024</w:t>
      </w:r>
    </w:p>
    <w:p w14:paraId="67D2E902" w14:textId="77777777" w:rsidR="00AA63F5" w:rsidRDefault="00AA63F5" w:rsidP="00AA63F5">
      <w:pPr>
        <w:pStyle w:val="paragraph"/>
        <w:spacing w:before="0" w:beforeAutospacing="0" w:after="0" w:afterAutospacing="0"/>
        <w:textAlignment w:val="baseline"/>
        <w:rPr>
          <w:rFonts w:ascii="Segoe UI" w:hAnsi="Segoe UI" w:cs="Segoe UI"/>
          <w:sz w:val="18"/>
          <w:szCs w:val="18"/>
        </w:rPr>
      </w:pPr>
    </w:p>
    <w:p w14:paraId="14349E44" w14:textId="2141E558"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41A844B6"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rPr>
      </w:pPr>
      <w:r>
        <w:rPr>
          <w:rStyle w:val="normaltextrun"/>
          <w:rFonts w:ascii="Poppins" w:eastAsiaTheme="majorEastAsia" w:hAnsi="Poppins" w:cs="Poppins"/>
        </w:rPr>
        <w:t xml:space="preserve">"I chose this because T330 doesn’t just teach environmental engineering—it cultivates ethical, emotionally literate, and globally aware professionals. </w:t>
      </w:r>
      <w:r>
        <w:rPr>
          <w:rStyle w:val="normaltextrun"/>
          <w:rFonts w:ascii="Poppins" w:eastAsiaTheme="majorEastAsia" w:hAnsi="Poppins" w:cs="Poppins"/>
        </w:rPr>
        <w:lastRenderedPageBreak/>
        <w:t>The blend of technical content with personal reflection and systems thinking is a model for sustainability education."</w:t>
      </w:r>
    </w:p>
    <w:p w14:paraId="4A16E9F9" w14:textId="77777777" w:rsidR="00AA63F5" w:rsidRDefault="00AA63F5" w:rsidP="00AA63F5">
      <w:pPr>
        <w:pStyle w:val="paragraph"/>
        <w:spacing w:before="0" w:beforeAutospacing="0" w:after="0" w:afterAutospacing="0"/>
        <w:textAlignment w:val="baseline"/>
        <w:rPr>
          <w:rStyle w:val="normaltextrun"/>
          <w:rFonts w:ascii="Poppins" w:eastAsiaTheme="majorEastAsia" w:hAnsi="Poppins" w:cs="Poppins"/>
        </w:rPr>
      </w:pPr>
    </w:p>
    <w:p w14:paraId="4522FDF6" w14:textId="70A865A0" w:rsidR="00AA63F5" w:rsidRDefault="00AA63F5" w:rsidP="00AA63F5">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Diagramming for sustainability</w:t>
      </w:r>
      <w:r>
        <w:rPr>
          <w:rStyle w:val="eop"/>
          <w:rFonts w:ascii="Poppins" w:eastAsiaTheme="majorEastAsia" w:hAnsi="Poppins" w:cs="Poppins"/>
        </w:rPr>
        <w:t> </w:t>
      </w:r>
    </w:p>
    <w:p w14:paraId="2AE6441B" w14:textId="77777777" w:rsidR="00AA63F5" w:rsidRDefault="00AA63F5" w:rsidP="00AA63F5">
      <w:pPr>
        <w:pStyle w:val="paragraph"/>
        <w:spacing w:before="0" w:beforeAutospacing="0" w:after="0" w:afterAutospacing="0"/>
        <w:textAlignment w:val="baseline"/>
        <w:rPr>
          <w:rStyle w:val="normaltextrun"/>
          <w:rFonts w:eastAsiaTheme="majorEastAsia"/>
        </w:rPr>
      </w:pPr>
      <w:r>
        <w:rPr>
          <w:rStyle w:val="normaltextrun"/>
          <w:rFonts w:ascii="Poppins" w:eastAsiaTheme="majorEastAsia" w:hAnsi="Poppins" w:cs="Poppins"/>
        </w:rPr>
        <w:t>T220 Environmental Management: Systems and Sustainability is a level 2 module worth 30 credits. The module consolidates, challenges and extends students’ understanding and practices relating to management and sustainability of human-environment systems with a critical view of the SDGs and sustainability concepts and practices in a range of contexts. One of the module’s core innovations is linking environmental management and sustainability ideas and approaches with systems concepts and practical techniques including diagramming. For example, in ‘Block 4: Environmental management in communities’, students engage with several case studies that relate to communities in Guyana and the UK. Students are supported to consider the complexities of each case study through diagramming (e.g. using a spray diagram). This structured approach supports students to build their knowledge, skills and competencies which they then apply in a collaborative teamwork task. The process of collaborating to investigate and propose responses and outcomes for a </w:t>
      </w:r>
      <w:proofErr w:type="gramStart"/>
      <w:r>
        <w:rPr>
          <w:rStyle w:val="normaltextrun"/>
          <w:rFonts w:ascii="Poppins" w:eastAsiaTheme="majorEastAsia" w:hAnsi="Poppins" w:cs="Poppins"/>
        </w:rPr>
        <w:t>contemporary environmental situations</w:t>
      </w:r>
      <w:proofErr w:type="gramEnd"/>
      <w:r>
        <w:rPr>
          <w:rStyle w:val="normaltextrun"/>
          <w:rFonts w:ascii="Poppins" w:eastAsiaTheme="majorEastAsia" w:hAnsi="Poppins" w:cs="Poppins"/>
        </w:rPr>
        <w:t xml:space="preserve"> enables students to explore and learn from a range of perspectives. The diagramming aspects are facilitated using the Moodle VLE tool ‘Open Studio’ where students build a portfolio of material for use in assessments. This is also used as a resource for students to reflect on their skills development as their learning progresses. </w:t>
      </w:r>
      <w:r>
        <w:rPr>
          <w:rStyle w:val="normaltextrun"/>
          <w:rFonts w:eastAsiaTheme="majorEastAsia"/>
        </w:rPr>
        <w:t> </w:t>
      </w:r>
    </w:p>
    <w:p w14:paraId="59186437" w14:textId="77777777" w:rsidR="00AA63F5" w:rsidRPr="00AA63F5" w:rsidRDefault="00AA63F5" w:rsidP="00AA63F5">
      <w:pPr>
        <w:pStyle w:val="paragraph"/>
        <w:spacing w:before="0" w:beforeAutospacing="0" w:after="0" w:afterAutospacing="0"/>
        <w:textAlignment w:val="baseline"/>
        <w:rPr>
          <w:rFonts w:eastAsiaTheme="majorEastAsia"/>
        </w:rPr>
      </w:pPr>
    </w:p>
    <w:p w14:paraId="7C1CAD9D" w14:textId="72E1D697"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Kevin Collins, Open University, Senior Lecturer Engineering and Innovation.</w:t>
      </w:r>
    </w:p>
    <w:p w14:paraId="5627B75F" w14:textId="77777777" w:rsidR="00AA63F5" w:rsidRDefault="00AA63F5" w:rsidP="00AA63F5">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p>
    <w:p w14:paraId="0ACD7F29" w14:textId="47708F51" w:rsidR="00B26882" w:rsidRPr="001E6687" w:rsidRDefault="001E6687" w:rsidP="001E6687">
      <w:pPr>
        <w:pStyle w:val="Heading2"/>
        <w:rPr>
          <w:rStyle w:val="eop"/>
          <w:rFonts w:ascii="Poppins" w:hAnsi="Poppins" w:cs="Poppins"/>
          <w:b/>
          <w:bCs/>
          <w:color w:val="auto"/>
        </w:rPr>
      </w:pPr>
      <w:r w:rsidRPr="001E6687">
        <w:rPr>
          <w:rStyle w:val="eop"/>
          <w:rFonts w:ascii="Poppins" w:hAnsi="Poppins" w:cs="Poppins"/>
          <w:b/>
          <w:bCs/>
          <w:color w:val="auto"/>
        </w:rPr>
        <w:t>Assessment</w:t>
      </w:r>
    </w:p>
    <w:p w14:paraId="032E11B6" w14:textId="16444913"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Reflecting on personal environmental impact using a Carbon Calculator</w:t>
      </w:r>
      <w:r>
        <w:rPr>
          <w:rStyle w:val="eop"/>
          <w:rFonts w:ascii="Poppins" w:eastAsiaTheme="majorEastAsia" w:hAnsi="Poppins" w:cs="Poppins"/>
        </w:rPr>
        <w:t> </w:t>
      </w:r>
    </w:p>
    <w:p w14:paraId="196A2971" w14:textId="4A1FF4B5"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U116 Environment: journey through a changing world is a level 1, 60 credit, Environmental Sciences Module. Students use the OU carbon calculator as part of module activities and assessment. The calculator was developed in partnership with The Centre for Alternative Technology (CAT) and is publicly accessible via</w:t>
      </w:r>
      <w:r>
        <w:rPr>
          <w:rStyle w:val="normaltextrun"/>
          <w:rFonts w:eastAsiaTheme="majorEastAsia"/>
        </w:rPr>
        <w:t> </w:t>
      </w:r>
      <w:hyperlink r:id="rId10" w:tgtFrame="_blank" w:history="1">
        <w:r>
          <w:rPr>
            <w:rStyle w:val="normaltextrun"/>
            <w:rFonts w:ascii="Poppins" w:eastAsiaTheme="majorEastAsia" w:hAnsi="Poppins" w:cs="Poppins"/>
            <w:b/>
            <w:bCs/>
            <w:color w:val="467886"/>
            <w:u w:val="single"/>
          </w:rPr>
          <w:t>Open Learn</w:t>
        </w:r>
      </w:hyperlink>
      <w:r>
        <w:rPr>
          <w:rStyle w:val="normaltextrun"/>
          <w:rFonts w:ascii="Poppins" w:eastAsiaTheme="majorEastAsia" w:hAnsi="Poppins" w:cs="Poppins"/>
        </w:rPr>
        <w:t>. Students based outside of the UK are directed to use carbonfootprint.com. The OU carbon calculator supports students to estimate their personal carbon footprint and compare it with the UK average.</w:t>
      </w:r>
      <w:r>
        <w:rPr>
          <w:rStyle w:val="normaltextrun"/>
          <w:rFonts w:eastAsiaTheme="majorEastAsia"/>
        </w:rPr>
        <w:t> </w:t>
      </w:r>
    </w:p>
    <w:p w14:paraId="18C4A1FB" w14:textId="46FBADED"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lastRenderedPageBreak/>
        <w:t>The module also includes a case study of a former OU Environment student. The case study explores how the student’s experience learning about climate change and environmental sciences inspired changes that positively impacted their carbon footprint.</w:t>
      </w:r>
      <w:r>
        <w:rPr>
          <w:rStyle w:val="normaltextrun"/>
          <w:rFonts w:eastAsiaTheme="majorEastAsia"/>
        </w:rPr>
        <w:t> </w:t>
      </w:r>
    </w:p>
    <w:p w14:paraId="491AAD62"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4A86E111" w14:textId="1F7A5BC6"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The module uses a framework of ‘I/we/they’ and provides examples of actions which span the framework to help students better understand environmental issues and responses. Using this framework and the examples students must also reflect on and identify possible approaches they can take to address their carbon calculator results. The reflections and identified actions form part of the module’s second assessment.</w:t>
      </w:r>
    </w:p>
    <w:p w14:paraId="386D7454"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33751C92" w14:textId="5A148DC2"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The Open University's Responsible Futures Audit 2024</w:t>
      </w:r>
    </w:p>
    <w:p w14:paraId="5034D0F2"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2ED5ED40" w14:textId="1540A789"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58B6C169" w14:textId="074FAA48"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"Highlighting how each individual's/organisation's actions contribute helps to foster a more responsibility-led approach to sustainable development."</w:t>
      </w:r>
      <w:r>
        <w:rPr>
          <w:rStyle w:val="normaltextrun"/>
          <w:rFonts w:ascii="Poppins" w:eastAsiaTheme="majorEastAsia" w:hAnsi="Poppins" w:cs="Poppins"/>
        </w:rPr>
        <w:br/>
      </w:r>
      <w:r>
        <w:rPr>
          <w:rStyle w:val="normaltextrun"/>
          <w:rFonts w:ascii="Poppins" w:eastAsiaTheme="majorEastAsia" w:hAnsi="Poppins" w:cs="Poppins"/>
        </w:rPr>
        <w:br/>
      </w:r>
      <w:r>
        <w:rPr>
          <w:rStyle w:val="normaltextrun"/>
          <w:rFonts w:ascii="Poppins" w:eastAsiaTheme="majorEastAsia" w:hAnsi="Poppins" w:cs="Poppins"/>
          <w:b/>
          <w:bCs/>
        </w:rPr>
        <w:t>Supporting collaboration and active participation in sustainability debates</w:t>
      </w:r>
      <w:r>
        <w:rPr>
          <w:rStyle w:val="eop"/>
          <w:rFonts w:ascii="Poppins" w:eastAsiaTheme="majorEastAsia" w:hAnsi="Poppins" w:cs="Poppins"/>
        </w:rPr>
        <w:t> </w:t>
      </w:r>
    </w:p>
    <w:p w14:paraId="7626CFC1" w14:textId="31B6D225"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SDT306 is a level 3 interdisciplinary module which focuses on how to equip students with skills to participate in sustainability debates and champion responses to sustainability challenges. Half of the module's assessment marks are linked to project work that addresses biodiversity, climate change and food issues.</w:t>
      </w:r>
      <w:r>
        <w:rPr>
          <w:rStyle w:val="normaltextrun"/>
          <w:rFonts w:eastAsiaTheme="majorEastAsia"/>
        </w:rPr>
        <w:t> </w:t>
      </w:r>
      <w:r>
        <w:rPr>
          <w:rStyle w:val="normaltextrun"/>
          <w:rFonts w:ascii="Poppins" w:eastAsiaTheme="majorEastAsia" w:hAnsi="Poppins" w:cs="Poppins"/>
        </w:rPr>
        <w:t>The project runs in parallel to the module content and is split into mini-project, group project, and individual project elements.</w:t>
      </w:r>
      <w:r>
        <w:rPr>
          <w:rStyle w:val="normaltextrun"/>
          <w:rFonts w:eastAsiaTheme="majorEastAsia"/>
        </w:rPr>
        <w:t> </w:t>
      </w:r>
    </w:p>
    <w:p w14:paraId="5B47EF9A"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49FD0D8F" w14:textId="71BFD90F"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For the group project students work together to create a set of slides which answer a research question about either Ecosystem Services (ES) or Sustainable Diets (SD). Students choose which topic to pursue and work with between five and ten peers. Each group member approaches the question from a different natural- or social-science perspective, e.g. intergenerational equity, natural heritage, sustainability, ethics, </w:t>
      </w:r>
      <w:proofErr w:type="gramStart"/>
      <w:r>
        <w:rPr>
          <w:rStyle w:val="normaltextrun"/>
          <w:rFonts w:ascii="Poppins" w:eastAsiaTheme="majorEastAsia" w:hAnsi="Poppins" w:cs="Poppins"/>
        </w:rPr>
        <w:t>in order to</w:t>
      </w:r>
      <w:proofErr w:type="gramEnd"/>
      <w:r>
        <w:rPr>
          <w:rStyle w:val="normaltextrun"/>
          <w:rFonts w:ascii="Poppins" w:eastAsiaTheme="majorEastAsia" w:hAnsi="Poppins" w:cs="Poppins"/>
        </w:rPr>
        <w:t> consider different perspectives.</w:t>
      </w:r>
      <w:r>
        <w:rPr>
          <w:rStyle w:val="normaltextrun"/>
          <w:rFonts w:eastAsiaTheme="majorEastAsia"/>
        </w:rPr>
        <w:t> </w:t>
      </w:r>
    </w:p>
    <w:p w14:paraId="0ACC546B"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0BFDF6E7" w14:textId="5BCF48F6"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Student groups have autonomy over how they collaborate and can work together online synchronously or asynchronously over approximately eight weeks of study time. Although a challenging task, most students report finding it rewarding and recognise the usefulness of developing collaboration and time management skills.</w:t>
      </w:r>
    </w:p>
    <w:p w14:paraId="3718592E"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28F5A821" w14:textId="3C220CA8"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The Open University's Responsible Futures Audit 2024</w:t>
      </w:r>
    </w:p>
    <w:p w14:paraId="6AE9F1A3"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733FB3E8" w14:textId="7C56A566"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6054F0C7" w14:textId="77777777" w:rsidR="001E6687" w:rsidRDefault="002567BD" w:rsidP="002567BD">
      <w:pPr>
        <w:pStyle w:val="paragraph"/>
        <w:spacing w:before="0" w:beforeAutospacing="0" w:after="0" w:afterAutospacing="0"/>
        <w:textAlignment w:val="baseline"/>
        <w:rPr>
          <w:rStyle w:val="normaltextrun"/>
          <w:rFonts w:ascii="Poppins" w:eastAsiaTheme="majorEastAsia" w:hAnsi="Poppins" w:cs="Poppins"/>
        </w:rPr>
      </w:pPr>
      <w:r>
        <w:rPr>
          <w:rStyle w:val="normaltextrun"/>
          <w:rFonts w:ascii="Poppins" w:eastAsiaTheme="majorEastAsia" w:hAnsi="Poppins" w:cs="Poppins"/>
        </w:rPr>
        <w:t>"This seemed interesting and even though I don't love group projects, I feel like this would have the students gaining a lot from the learning."</w:t>
      </w:r>
      <w:r>
        <w:rPr>
          <w:rStyle w:val="normaltextrun"/>
          <w:rFonts w:ascii="Poppins" w:eastAsiaTheme="majorEastAsia" w:hAnsi="Poppins" w:cs="Poppins"/>
        </w:rPr>
        <w:br/>
      </w:r>
    </w:p>
    <w:p w14:paraId="3BC63ECD" w14:textId="77777777" w:rsidR="001E6687" w:rsidRDefault="001E6687" w:rsidP="002567BD">
      <w:pPr>
        <w:pStyle w:val="paragraph"/>
        <w:spacing w:before="0" w:beforeAutospacing="0" w:after="0" w:afterAutospacing="0"/>
        <w:textAlignment w:val="baseline"/>
        <w:rPr>
          <w:rStyle w:val="normaltextrun"/>
          <w:rFonts w:ascii="Poppins" w:eastAsiaTheme="majorEastAsia" w:hAnsi="Poppins" w:cs="Poppins"/>
        </w:rPr>
      </w:pPr>
    </w:p>
    <w:p w14:paraId="7BD5EF03" w14:textId="22DF2338" w:rsidR="001E6687" w:rsidRPr="00166207" w:rsidRDefault="00166207" w:rsidP="00166207">
      <w:pPr>
        <w:pStyle w:val="Heading2"/>
        <w:rPr>
          <w:rStyle w:val="normaltextrun"/>
          <w:rFonts w:ascii="Poppins" w:hAnsi="Poppins" w:cs="Poppins"/>
          <w:b/>
          <w:bCs/>
          <w:color w:val="auto"/>
        </w:rPr>
      </w:pPr>
      <w:r w:rsidRPr="00166207">
        <w:rPr>
          <w:rStyle w:val="normaltextrun"/>
          <w:rFonts w:ascii="Poppins" w:hAnsi="Poppins" w:cs="Poppins"/>
          <w:b/>
          <w:bCs/>
          <w:color w:val="auto"/>
        </w:rPr>
        <w:t>Sustainability pedagogies</w:t>
      </w:r>
    </w:p>
    <w:p w14:paraId="6D2D6955" w14:textId="77777777" w:rsidR="001E6687" w:rsidRDefault="001E6687" w:rsidP="002567BD">
      <w:pPr>
        <w:pStyle w:val="paragraph"/>
        <w:spacing w:before="0" w:beforeAutospacing="0" w:after="0" w:afterAutospacing="0"/>
        <w:textAlignment w:val="baseline"/>
        <w:rPr>
          <w:rStyle w:val="normaltextrun"/>
          <w:rFonts w:ascii="Poppins" w:eastAsiaTheme="majorEastAsia" w:hAnsi="Poppins" w:cs="Poppins"/>
          <w:b/>
          <w:bCs/>
        </w:rPr>
      </w:pPr>
    </w:p>
    <w:p w14:paraId="2EA92DC2" w14:textId="7EB4DED8"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Innovation Landscape Matrix: Redefining Design to Shape Sustainable Narratives</w:t>
      </w:r>
      <w:r>
        <w:rPr>
          <w:rStyle w:val="eop"/>
          <w:rFonts w:ascii="Poppins" w:eastAsiaTheme="majorEastAsia" w:hAnsi="Poppins" w:cs="Poppins"/>
        </w:rPr>
        <w:t> </w:t>
      </w:r>
    </w:p>
    <w:p w14:paraId="2B4D24A6"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'T317 Innovation: Designing for Change', launched in 2014 and attracts 400–600 students annually. The module includes experiential project-based learning, culminating in a detailed design concept as the final assessment. A core tool is the Innovation Landscape Matrix (ILM) (Dewberry et al, 2024), created to help students explore the design ecologies of products, services, and systems through a sustainability lens.</w:t>
      </w:r>
      <w:r>
        <w:rPr>
          <w:rStyle w:val="scxw182540630"/>
          <w:rFonts w:ascii="Poppins" w:eastAsiaTheme="majorEastAsia" w:hAnsi="Poppins" w:cs="Poppins"/>
        </w:rPr>
        <w:t> </w:t>
      </w:r>
      <w:r>
        <w:rPr>
          <w:rFonts w:ascii="Poppins" w:hAnsi="Poppins" w:cs="Poppins"/>
        </w:rPr>
        <w:br/>
      </w:r>
      <w:r>
        <w:rPr>
          <w:rStyle w:val="scxw182540630"/>
          <w:rFonts w:ascii="Aptos" w:eastAsiaTheme="majorEastAsia" w:hAnsi="Aptos" w:cs="Segoe UI"/>
        </w:rPr>
        <w:t> </w:t>
      </w:r>
      <w:r>
        <w:rPr>
          <w:rFonts w:ascii="Aptos" w:hAnsi="Aptos" w:cs="Segoe UI"/>
        </w:rPr>
        <w:br/>
      </w:r>
      <w:r>
        <w:rPr>
          <w:rStyle w:val="normaltextrun"/>
          <w:rFonts w:ascii="Poppins" w:eastAsiaTheme="majorEastAsia" w:hAnsi="Poppins" w:cs="Poppins"/>
        </w:rPr>
        <w:t>The ILM encourages students to consider where innovation might best be focused, moving beyond conventional product-based responses. Students undertake independent research to address questions across nine areas of the matrix. The bottom left emphasises product and material explorations, while the top right expands to systemic issues: ecological impacts by location, ethics of resource use, regulatory systems, cultural norms, and technology trends. This shift in perspective enables students to challenge established design norms and develop new narratives to support sustainable transitions (Dewberry, 2018).</w:t>
      </w:r>
      <w:r>
        <w:rPr>
          <w:rStyle w:val="scxw182540630"/>
          <w:rFonts w:ascii="Poppins" w:eastAsiaTheme="majorEastAsia" w:hAnsi="Poppins" w:cs="Poppins"/>
        </w:rPr>
        <w:t> </w:t>
      </w:r>
      <w:r>
        <w:rPr>
          <w:rFonts w:ascii="Poppins" w:hAnsi="Poppins" w:cs="Poppins"/>
        </w:rPr>
        <w:br/>
      </w:r>
      <w:r>
        <w:rPr>
          <w:rStyle w:val="scxw182540630"/>
          <w:rFonts w:ascii="Aptos" w:eastAsiaTheme="majorEastAsia" w:hAnsi="Aptos" w:cs="Segoe UI"/>
        </w:rPr>
        <w:t> </w:t>
      </w:r>
      <w:r>
        <w:rPr>
          <w:rFonts w:ascii="Aptos" w:hAnsi="Aptos" w:cs="Segoe UI"/>
        </w:rPr>
        <w:br/>
      </w:r>
      <w:r>
        <w:rPr>
          <w:rStyle w:val="normaltextrun"/>
          <w:rFonts w:ascii="Poppins" w:eastAsiaTheme="majorEastAsia" w:hAnsi="Poppins" w:cs="Poppins"/>
        </w:rPr>
        <w:t>Over the past decade, thousands of design-for-sustainability projects have used the ILM, with associate lecturers also applying it in professional contexts. The exercise aligns with the UN Sustainable Development Goals (SDGs), particularly 'SDG 12: Responsible Consumption and Production', demonstrating its impact on both learning and practice.</w:t>
      </w:r>
      <w:r>
        <w:rPr>
          <w:rStyle w:val="eop"/>
          <w:rFonts w:ascii="Poppins" w:eastAsiaTheme="majorEastAsia" w:hAnsi="Poppins" w:cs="Poppins"/>
        </w:rPr>
        <w:t> </w:t>
      </w:r>
    </w:p>
    <w:p w14:paraId="4983BE7C" w14:textId="6DC86A63"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Emma Dewberry, Open University, Senior Lecturer School of Engineering and Innovation.</w:t>
      </w:r>
    </w:p>
    <w:p w14:paraId="528BD2A5"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5E2F6E24" w14:textId="591CF130"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References</w:t>
      </w:r>
    </w:p>
    <w:p w14:paraId="5CA145C6" w14:textId="465D91D5"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Dewberry, Emma; </w:t>
      </w:r>
      <w:proofErr w:type="spellStart"/>
      <w:r>
        <w:rPr>
          <w:rStyle w:val="normaltextrun"/>
          <w:rFonts w:ascii="Poppins" w:eastAsiaTheme="majorEastAsia" w:hAnsi="Poppins" w:cs="Poppins"/>
        </w:rPr>
        <w:t>Boehnert</w:t>
      </w:r>
      <w:proofErr w:type="spellEnd"/>
      <w:r>
        <w:rPr>
          <w:rStyle w:val="normaltextrun"/>
          <w:rFonts w:ascii="Poppins" w:eastAsiaTheme="majorEastAsia" w:hAnsi="Poppins" w:cs="Poppins"/>
        </w:rPr>
        <w:t>, Joanna and Sinclair, Matt (2024). Design Ecologies Exercise: The Innovation Landscape Matrix. In: </w:t>
      </w:r>
      <w:proofErr w:type="spellStart"/>
      <w:r>
        <w:rPr>
          <w:rStyle w:val="normaltextrun"/>
          <w:rFonts w:ascii="Poppins" w:eastAsiaTheme="majorEastAsia" w:hAnsi="Poppins" w:cs="Poppins"/>
        </w:rPr>
        <w:t>Egenhoefer</w:t>
      </w:r>
      <w:proofErr w:type="spellEnd"/>
      <w:r>
        <w:rPr>
          <w:rStyle w:val="normaltextrun"/>
          <w:rFonts w:ascii="Poppins" w:eastAsiaTheme="majorEastAsia" w:hAnsi="Poppins" w:cs="Poppins"/>
        </w:rPr>
        <w:t>, Rachel Beth ed. Routledge Handbook of Sustainable Design, 2nd ed. London: Routledge, pp. 618–623</w:t>
      </w:r>
    </w:p>
    <w:p w14:paraId="230EF506"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31FEAFF2" w14:textId="0FDABB8D" w:rsidR="002567BD" w:rsidRDefault="002567BD" w:rsidP="002567BD">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Dewberry, Emma (2018). Eco-literacy in Transition: the role of design ecologies in developing our capacity for radical change. In: Can Design Catalyse the Great Transition? Papers from the Transition Design Symposium 2016 (Kossoff, Gideon and Potts, Ruth eds.), The School of Design at Carnegie Mellon University, Schumacher College and the New Weather Institute. pp. 127–136.</w:t>
      </w:r>
    </w:p>
    <w:p w14:paraId="72BD98C7" w14:textId="77777777" w:rsidR="002567BD" w:rsidRDefault="002567BD" w:rsidP="002567BD">
      <w:pPr>
        <w:pStyle w:val="paragraph"/>
        <w:spacing w:before="0" w:beforeAutospacing="0" w:after="0" w:afterAutospacing="0"/>
        <w:textAlignment w:val="baseline"/>
        <w:rPr>
          <w:rFonts w:ascii="Segoe UI" w:hAnsi="Segoe UI" w:cs="Segoe UI"/>
          <w:sz w:val="18"/>
          <w:szCs w:val="18"/>
        </w:rPr>
      </w:pPr>
    </w:p>
    <w:p w14:paraId="12B0A9CA" w14:textId="6E9B09E5"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1E6E59D1" w14:textId="4CD77CEB" w:rsidR="002567BD" w:rsidRDefault="002567BD" w:rsidP="002567BD">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"I feel this is the option that supports transformational change."</w:t>
      </w:r>
    </w:p>
    <w:p w14:paraId="6DE5B4C7" w14:textId="0A785995" w:rsidR="002567BD" w:rsidRDefault="002567BD" w:rsidP="002567BD">
      <w:pPr>
        <w:pStyle w:val="paragraph"/>
        <w:spacing w:before="0" w:beforeAutospacing="0" w:after="0" w:afterAutospacing="0"/>
        <w:textAlignment w:val="baseline"/>
        <w:rPr>
          <w:rFonts w:ascii="Segoe UI" w:hAnsi="Segoe UI" w:cs="Segoe UI"/>
          <w:sz w:val="18"/>
          <w:szCs w:val="18"/>
        </w:rPr>
      </w:pPr>
    </w:p>
    <w:p w14:paraId="78852C47" w14:textId="1EEB3B4C" w:rsidR="00B85DCE" w:rsidRDefault="00B85DCE" w:rsidP="00B85DCE">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Helping students to reflect on their beliefs and understanding using a Venn diagram interactive</w:t>
      </w:r>
      <w:r>
        <w:rPr>
          <w:rStyle w:val="eop"/>
          <w:rFonts w:ascii="Poppins" w:eastAsiaTheme="majorEastAsia" w:hAnsi="Poppins" w:cs="Poppins"/>
        </w:rPr>
        <w:t> </w:t>
      </w:r>
    </w:p>
    <w:p w14:paraId="28008612" w14:textId="01EB65A8"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T213, is a Level 2, 30 credit Environment and Development course. In the first week of the module students are asked to use an interactive Venn diagram to mark where their current thinking in relation to growthist, peakiest, environmentalist perspectives of energy systems. The interactive also allows them to see where other (anonymised) students on the module have placed themselves. To conclude the activity students are directed towards the discussion forum to share their views with the other students. A forum moderator encourages discussion between the students and provides further input as/when required.</w:t>
      </w:r>
      <w:r>
        <w:rPr>
          <w:rStyle w:val="normaltextrun"/>
          <w:rFonts w:eastAsiaTheme="majorEastAsia"/>
        </w:rPr>
        <w:t> </w:t>
      </w:r>
    </w:p>
    <w:p w14:paraId="3CAE639A" w14:textId="77777777" w:rsidR="00B85DCE" w:rsidRDefault="00B85DCE" w:rsidP="00B85DCE">
      <w:pPr>
        <w:pStyle w:val="paragraph"/>
        <w:spacing w:before="0" w:beforeAutospacing="0" w:after="0" w:afterAutospacing="0"/>
        <w:textAlignment w:val="baseline"/>
        <w:rPr>
          <w:rFonts w:ascii="Segoe UI" w:hAnsi="Segoe UI" w:cs="Segoe UI"/>
          <w:sz w:val="18"/>
          <w:szCs w:val="18"/>
        </w:rPr>
      </w:pPr>
    </w:p>
    <w:p w14:paraId="37243822" w14:textId="092FD727"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At the end of the course students revisit the interactive Venn diagram. Their previous answer from the start of the course is re-shared and students are invited to reflect on their decision and consider whether their perspective has changed and why.</w:t>
      </w:r>
    </w:p>
    <w:p w14:paraId="213F4B97" w14:textId="77777777" w:rsidR="00B85DCE" w:rsidRDefault="00B85DCE" w:rsidP="00B85DCE">
      <w:pPr>
        <w:pStyle w:val="paragraph"/>
        <w:spacing w:before="0" w:beforeAutospacing="0" w:after="0" w:afterAutospacing="0"/>
        <w:textAlignment w:val="baseline"/>
        <w:rPr>
          <w:rFonts w:ascii="Segoe UI" w:hAnsi="Segoe UI" w:cs="Segoe UI"/>
          <w:sz w:val="18"/>
          <w:szCs w:val="18"/>
        </w:rPr>
      </w:pPr>
    </w:p>
    <w:p w14:paraId="038A30CB" w14:textId="1443B6A0"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The Open University's Responsible Futures Audit 2024</w:t>
      </w:r>
    </w:p>
    <w:p w14:paraId="1BA0CE1E" w14:textId="77777777" w:rsidR="00B85DCE" w:rsidRDefault="00B85DCE" w:rsidP="00B85DCE">
      <w:pPr>
        <w:pStyle w:val="paragraph"/>
        <w:spacing w:before="0" w:beforeAutospacing="0" w:after="0" w:afterAutospacing="0"/>
        <w:textAlignment w:val="baseline"/>
        <w:rPr>
          <w:rFonts w:ascii="Segoe UI" w:hAnsi="Segoe UI" w:cs="Segoe UI"/>
          <w:sz w:val="18"/>
          <w:szCs w:val="18"/>
        </w:rPr>
      </w:pPr>
    </w:p>
    <w:p w14:paraId="677E9750" w14:textId="031013C4" w:rsidR="00B85DCE" w:rsidRDefault="00B85DCE" w:rsidP="00B85DCE">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7E7FC168" w14:textId="1AD308E4"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"The reason this stood out are terms like 'interactive', 'themselves' and 'encourages'. In addition, modern trends seem to indicate that the best way to stimulate students is through effective communications and diagrams are often more effective at achieving this than reading textbooks or 10 pages. Finally, the message of reflection should continue to be encouraged by </w:t>
      </w:r>
      <w:proofErr w:type="gramStart"/>
      <w:r>
        <w:rPr>
          <w:rStyle w:val="normaltextrun"/>
          <w:rFonts w:ascii="Poppins" w:eastAsiaTheme="majorEastAsia" w:hAnsi="Poppins" w:cs="Poppins"/>
        </w:rPr>
        <w:t>The</w:t>
      </w:r>
      <w:proofErr w:type="gramEnd"/>
      <w:r>
        <w:rPr>
          <w:rStyle w:val="normaltextrun"/>
          <w:rFonts w:ascii="Poppins" w:eastAsiaTheme="majorEastAsia" w:hAnsi="Poppins" w:cs="Poppins"/>
        </w:rPr>
        <w:t> OU."</w:t>
      </w:r>
    </w:p>
    <w:p w14:paraId="48781B4C" w14:textId="77777777"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p>
    <w:p w14:paraId="51C9F79C" w14:textId="77777777" w:rsidR="00166207" w:rsidRDefault="00166207" w:rsidP="00B85DCE">
      <w:pPr>
        <w:pStyle w:val="paragraph"/>
        <w:spacing w:before="0" w:beforeAutospacing="0" w:after="0" w:afterAutospacing="0"/>
        <w:textAlignment w:val="baseline"/>
        <w:rPr>
          <w:rStyle w:val="normaltextrun"/>
          <w:rFonts w:ascii="Poppins" w:eastAsiaTheme="majorEastAsia" w:hAnsi="Poppins" w:cs="Poppins"/>
          <w:b/>
          <w:bCs/>
        </w:rPr>
      </w:pPr>
    </w:p>
    <w:p w14:paraId="768B14F6" w14:textId="4D77B2E7" w:rsidR="00166207" w:rsidRDefault="00166207" w:rsidP="00166207">
      <w:pPr>
        <w:pStyle w:val="Heading2"/>
        <w:rPr>
          <w:rStyle w:val="normaltextrun"/>
          <w:rFonts w:ascii="Poppins" w:hAnsi="Poppins" w:cs="Poppins"/>
          <w:b/>
          <w:bCs/>
          <w:color w:val="auto"/>
        </w:rPr>
      </w:pPr>
      <w:r w:rsidRPr="00166207">
        <w:rPr>
          <w:rStyle w:val="normaltextrun"/>
          <w:rFonts w:ascii="Poppins" w:hAnsi="Poppins" w:cs="Poppins"/>
          <w:b/>
          <w:bCs/>
          <w:color w:val="auto"/>
        </w:rPr>
        <w:t>Subliminal curriculum</w:t>
      </w:r>
    </w:p>
    <w:p w14:paraId="09E399B5" w14:textId="77777777" w:rsidR="00166207" w:rsidRPr="00166207" w:rsidRDefault="00166207" w:rsidP="00166207"/>
    <w:p w14:paraId="4598E932" w14:textId="4C2D07A5" w:rsidR="00B85DCE" w:rsidRDefault="00B85DCE" w:rsidP="00B85DCE">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Design Fairs/Student poster competition</w:t>
      </w:r>
      <w:r>
        <w:rPr>
          <w:rStyle w:val="eop"/>
          <w:rFonts w:ascii="Poppins" w:eastAsiaTheme="majorEastAsia" w:hAnsi="Poppins" w:cs="Poppins"/>
        </w:rPr>
        <w:t> </w:t>
      </w:r>
    </w:p>
    <w:p w14:paraId="1636EEEB" w14:textId="771FB303"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rPr>
        <w:t>Since 2018 students studying OU Design modules are invited to enter the Annual Design Competition. Students are asked to develop projects they began as part of their coursework. These projects often reflect a range of social and ecological issues. For example, U101 students learn about designing for society and T190 focuses on system thinking. Around 40 students across all levels of Undergraduate study enter the competition each year. Students submit a poster and are reviewed according to their stage of study. Examples of entries include the design of an edible and compostable water bottle, designing a solution to educate and encourage use of a community allotment, and the design of an app that communicates food expiry dates in local shops to tackle food waste. Link to competition</w:t>
      </w:r>
      <w:r>
        <w:rPr>
          <w:rStyle w:val="normaltextrun"/>
          <w:rFonts w:eastAsiaTheme="majorEastAsia"/>
        </w:rPr>
        <w:t> </w:t>
      </w:r>
      <w:hyperlink r:id="rId11" w:tgtFrame="_blank" w:history="1">
        <w:r>
          <w:rPr>
            <w:rStyle w:val="normaltextrun"/>
            <w:rFonts w:ascii="Poppins" w:eastAsiaTheme="majorEastAsia" w:hAnsi="Poppins" w:cs="Poppins"/>
            <w:b/>
            <w:bCs/>
            <w:color w:val="467886"/>
            <w:u w:val="single"/>
          </w:rPr>
          <w:t>https://www.oudesignshow.org</w:t>
        </w:r>
      </w:hyperlink>
      <w:r>
        <w:rPr>
          <w:rStyle w:val="normaltextrun"/>
          <w:rFonts w:ascii="Poppins" w:eastAsiaTheme="majorEastAsia" w:hAnsi="Poppins" w:cs="Poppins"/>
        </w:rPr>
        <w:t>.</w:t>
      </w:r>
    </w:p>
    <w:p w14:paraId="675160DC" w14:textId="77777777" w:rsidR="00B85DCE" w:rsidRDefault="00B85DCE" w:rsidP="00B85DCE">
      <w:pPr>
        <w:pStyle w:val="paragraph"/>
        <w:spacing w:before="0" w:beforeAutospacing="0" w:after="0" w:afterAutospacing="0"/>
        <w:textAlignment w:val="baseline"/>
        <w:rPr>
          <w:rFonts w:ascii="Segoe UI" w:hAnsi="Segoe UI" w:cs="Segoe UI"/>
          <w:sz w:val="18"/>
          <w:szCs w:val="18"/>
        </w:rPr>
      </w:pPr>
    </w:p>
    <w:p w14:paraId="54787959" w14:textId="37FDC5C4" w:rsidR="00B85DCE" w:rsidRDefault="00B85DCE" w:rsidP="00B85DCE">
      <w:pPr>
        <w:pStyle w:val="paragraph"/>
        <w:spacing w:before="0" w:beforeAutospacing="0" w:after="0" w:afterAutospacing="0"/>
        <w:textAlignment w:val="baseline"/>
        <w:rPr>
          <w:rStyle w:val="eop"/>
          <w:rFonts w:ascii="Poppins" w:eastAsiaTheme="majorEastAsia" w:hAnsi="Poppins" w:cs="Poppins"/>
          <w:bdr w:val="none" w:sz="0" w:space="0" w:color="auto" w:frame="1"/>
          <w:shd w:val="clear" w:color="auto" w:fill="C6C6C6"/>
        </w:rPr>
      </w:pPr>
      <w:r>
        <w:rPr>
          <w:rStyle w:val="normaltextrun"/>
          <w:rFonts w:ascii="Poppins" w:eastAsiaTheme="majorEastAsia" w:hAnsi="Poppins" w:cs="Poppins"/>
          <w:b/>
          <w:bCs/>
        </w:rPr>
        <w:t>Author</w:t>
      </w:r>
      <w:r>
        <w:rPr>
          <w:rStyle w:val="normaltextrun"/>
          <w:rFonts w:ascii="Poppins" w:eastAsiaTheme="majorEastAsia" w:hAnsi="Poppins" w:cs="Poppins"/>
        </w:rPr>
        <w:t>: The Open University's Responsible Futures Audit 2024</w:t>
      </w:r>
    </w:p>
    <w:p w14:paraId="0B2F86CA" w14:textId="77777777" w:rsidR="00B85DCE" w:rsidRDefault="00B85DCE" w:rsidP="00B85DCE">
      <w:pPr>
        <w:pStyle w:val="paragraph"/>
        <w:spacing w:before="0" w:beforeAutospacing="0" w:after="0" w:afterAutospacing="0"/>
        <w:textAlignment w:val="baseline"/>
        <w:rPr>
          <w:rFonts w:ascii="Segoe UI" w:hAnsi="Segoe UI" w:cs="Segoe UI"/>
          <w:sz w:val="18"/>
          <w:szCs w:val="18"/>
        </w:rPr>
      </w:pPr>
    </w:p>
    <w:p w14:paraId="2CD42C37" w14:textId="3952B28C" w:rsidR="00B85DCE" w:rsidRDefault="00B85DCE" w:rsidP="00B85DCE">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b/>
          <w:bCs/>
        </w:rPr>
        <w:t>Student quote</w:t>
      </w:r>
    </w:p>
    <w:p w14:paraId="62B10E7F" w14:textId="3498836B" w:rsidR="00B85DCE" w:rsidRDefault="00B85DCE" w:rsidP="00B85DCE">
      <w:pPr>
        <w:pStyle w:val="paragraph"/>
        <w:spacing w:before="0" w:beforeAutospacing="0" w:after="0" w:afterAutospacing="0"/>
        <w:textAlignment w:val="baseline"/>
        <w:rPr>
          <w:rFonts w:ascii="Segoe UI" w:hAnsi="Segoe UI" w:cs="Segoe UI"/>
          <w:sz w:val="18"/>
          <w:szCs w:val="18"/>
        </w:rPr>
      </w:pPr>
      <w:r>
        <w:rPr>
          <w:rStyle w:val="normaltextrun"/>
          <w:rFonts w:ascii="Poppins" w:eastAsiaTheme="majorEastAsia" w:hAnsi="Poppins" w:cs="Poppins"/>
        </w:rPr>
        <w:t>"The student poster competition would be a fun way to take part in the sustainability values of the OU."</w:t>
      </w:r>
    </w:p>
    <w:p w14:paraId="45C2EC18" w14:textId="3D861A25" w:rsidR="00B85DCE" w:rsidRDefault="00B85DCE" w:rsidP="00B85DCE">
      <w:pPr>
        <w:pStyle w:val="paragraph"/>
        <w:spacing w:before="0" w:beforeAutospacing="0" w:after="0" w:afterAutospacing="0"/>
        <w:textAlignment w:val="baseline"/>
        <w:rPr>
          <w:rFonts w:ascii="Segoe UI" w:hAnsi="Segoe UI" w:cs="Segoe UI"/>
          <w:sz w:val="18"/>
          <w:szCs w:val="18"/>
        </w:rPr>
      </w:pPr>
    </w:p>
    <w:p w14:paraId="7EFE0D9E" w14:textId="062BC1D3" w:rsidR="002567BD" w:rsidRPr="002567BD" w:rsidRDefault="002567BD" w:rsidP="002567BD">
      <w:pPr>
        <w:pStyle w:val="paragraph"/>
        <w:spacing w:before="0" w:beforeAutospacing="0" w:after="0" w:afterAutospacing="0"/>
        <w:textAlignment w:val="baseline"/>
        <w:rPr>
          <w:rFonts w:ascii="Poppins" w:eastAsiaTheme="majorEastAsia" w:hAnsi="Poppins" w:cs="Poppins"/>
        </w:rPr>
      </w:pPr>
    </w:p>
    <w:sectPr w:rsidR="002567BD" w:rsidRPr="002567B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3510" w14:textId="77777777" w:rsidR="00E34AAB" w:rsidRDefault="00E34AAB" w:rsidP="00AA63F5">
      <w:pPr>
        <w:spacing w:after="0" w:line="240" w:lineRule="auto"/>
      </w:pPr>
      <w:r>
        <w:separator/>
      </w:r>
    </w:p>
  </w:endnote>
  <w:endnote w:type="continuationSeparator" w:id="0">
    <w:p w14:paraId="40301C47" w14:textId="77777777" w:rsidR="00E34AAB" w:rsidRDefault="00E34AAB" w:rsidP="00AA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1F8C" w14:textId="77777777" w:rsidR="00E34AAB" w:rsidRDefault="00E34AAB" w:rsidP="00AA63F5">
      <w:pPr>
        <w:spacing w:after="0" w:line="240" w:lineRule="auto"/>
      </w:pPr>
      <w:r>
        <w:separator/>
      </w:r>
    </w:p>
  </w:footnote>
  <w:footnote w:type="continuationSeparator" w:id="0">
    <w:p w14:paraId="1BE44E80" w14:textId="77777777" w:rsidR="00E34AAB" w:rsidRDefault="00E34AAB" w:rsidP="00AA6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C5AC" w14:textId="74F5F978" w:rsidR="00AA63F5" w:rsidRPr="00AA63F5" w:rsidRDefault="00AA63F5">
    <w:pPr>
      <w:pStyle w:val="Header"/>
      <w:rPr>
        <w:sz w:val="32"/>
        <w:szCs w:val="32"/>
      </w:rPr>
    </w:pPr>
    <w:r w:rsidRPr="00AA63F5">
      <w:rPr>
        <w:sz w:val="32"/>
        <w:szCs w:val="32"/>
      </w:rPr>
      <w:t>STEM – Words of Wisdom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94"/>
    <w:rsid w:val="00003B3E"/>
    <w:rsid w:val="00166207"/>
    <w:rsid w:val="001E6687"/>
    <w:rsid w:val="002567BD"/>
    <w:rsid w:val="003545BA"/>
    <w:rsid w:val="00415240"/>
    <w:rsid w:val="005472ED"/>
    <w:rsid w:val="007F6EF6"/>
    <w:rsid w:val="00897547"/>
    <w:rsid w:val="00905994"/>
    <w:rsid w:val="00A730D2"/>
    <w:rsid w:val="00AA63F5"/>
    <w:rsid w:val="00AD0739"/>
    <w:rsid w:val="00B26882"/>
    <w:rsid w:val="00B85DCE"/>
    <w:rsid w:val="00CC0332"/>
    <w:rsid w:val="00CC2A06"/>
    <w:rsid w:val="00E34AAB"/>
    <w:rsid w:val="00E62E47"/>
    <w:rsid w:val="00E664F0"/>
    <w:rsid w:val="00EE3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DBAB"/>
  <w15:chartTrackingRefBased/>
  <w15:docId w15:val="{E3146CEF-EB1D-4C7D-B265-E914D35B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5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5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94"/>
    <w:rPr>
      <w:rFonts w:eastAsiaTheme="majorEastAsia" w:cstheme="majorBidi"/>
      <w:color w:val="272727" w:themeColor="text1" w:themeTint="D8"/>
    </w:rPr>
  </w:style>
  <w:style w:type="paragraph" w:styleId="Title">
    <w:name w:val="Title"/>
    <w:basedOn w:val="Normal"/>
    <w:next w:val="Normal"/>
    <w:link w:val="TitleChar"/>
    <w:uiPriority w:val="10"/>
    <w:qFormat/>
    <w:rsid w:val="00905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94"/>
    <w:pPr>
      <w:spacing w:before="160"/>
      <w:jc w:val="center"/>
    </w:pPr>
    <w:rPr>
      <w:i/>
      <w:iCs/>
      <w:color w:val="404040" w:themeColor="text1" w:themeTint="BF"/>
    </w:rPr>
  </w:style>
  <w:style w:type="character" w:customStyle="1" w:styleId="QuoteChar">
    <w:name w:val="Quote Char"/>
    <w:basedOn w:val="DefaultParagraphFont"/>
    <w:link w:val="Quote"/>
    <w:uiPriority w:val="29"/>
    <w:rsid w:val="00905994"/>
    <w:rPr>
      <w:i/>
      <w:iCs/>
      <w:color w:val="404040" w:themeColor="text1" w:themeTint="BF"/>
    </w:rPr>
  </w:style>
  <w:style w:type="paragraph" w:styleId="ListParagraph">
    <w:name w:val="List Paragraph"/>
    <w:basedOn w:val="Normal"/>
    <w:uiPriority w:val="34"/>
    <w:qFormat/>
    <w:rsid w:val="00905994"/>
    <w:pPr>
      <w:ind w:left="720"/>
      <w:contextualSpacing/>
    </w:pPr>
  </w:style>
  <w:style w:type="character" w:styleId="IntenseEmphasis">
    <w:name w:val="Intense Emphasis"/>
    <w:basedOn w:val="DefaultParagraphFont"/>
    <w:uiPriority w:val="21"/>
    <w:qFormat/>
    <w:rsid w:val="00905994"/>
    <w:rPr>
      <w:i/>
      <w:iCs/>
      <w:color w:val="0F4761" w:themeColor="accent1" w:themeShade="BF"/>
    </w:rPr>
  </w:style>
  <w:style w:type="paragraph" w:styleId="IntenseQuote">
    <w:name w:val="Intense Quote"/>
    <w:basedOn w:val="Normal"/>
    <w:next w:val="Normal"/>
    <w:link w:val="IntenseQuoteChar"/>
    <w:uiPriority w:val="30"/>
    <w:qFormat/>
    <w:rsid w:val="00905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994"/>
    <w:rPr>
      <w:i/>
      <w:iCs/>
      <w:color w:val="0F4761" w:themeColor="accent1" w:themeShade="BF"/>
    </w:rPr>
  </w:style>
  <w:style w:type="character" w:styleId="IntenseReference">
    <w:name w:val="Intense Reference"/>
    <w:basedOn w:val="DefaultParagraphFont"/>
    <w:uiPriority w:val="32"/>
    <w:qFormat/>
    <w:rsid w:val="00905994"/>
    <w:rPr>
      <w:b/>
      <w:bCs/>
      <w:smallCaps/>
      <w:color w:val="0F4761" w:themeColor="accent1" w:themeShade="BF"/>
      <w:spacing w:val="5"/>
    </w:rPr>
  </w:style>
  <w:style w:type="paragraph" w:styleId="Header">
    <w:name w:val="header"/>
    <w:basedOn w:val="Normal"/>
    <w:link w:val="HeaderChar"/>
    <w:uiPriority w:val="99"/>
    <w:unhideWhenUsed/>
    <w:rsid w:val="00AA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3F5"/>
  </w:style>
  <w:style w:type="paragraph" w:styleId="Footer">
    <w:name w:val="footer"/>
    <w:basedOn w:val="Normal"/>
    <w:link w:val="FooterChar"/>
    <w:uiPriority w:val="99"/>
    <w:unhideWhenUsed/>
    <w:rsid w:val="00AA6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3F5"/>
  </w:style>
  <w:style w:type="paragraph" w:customStyle="1" w:styleId="paragraph">
    <w:name w:val="paragraph"/>
    <w:basedOn w:val="Normal"/>
    <w:rsid w:val="00AA63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63F5"/>
  </w:style>
  <w:style w:type="character" w:customStyle="1" w:styleId="eop">
    <w:name w:val="eop"/>
    <w:basedOn w:val="DefaultParagraphFont"/>
    <w:rsid w:val="00AA63F5"/>
  </w:style>
  <w:style w:type="character" w:customStyle="1" w:styleId="scxw182540630">
    <w:name w:val="scxw182540630"/>
    <w:basedOn w:val="DefaultParagraphFont"/>
    <w:rsid w:val="002567BD"/>
  </w:style>
  <w:style w:type="character" w:styleId="Hyperlink">
    <w:name w:val="Hyperlink"/>
    <w:basedOn w:val="DefaultParagraphFont"/>
    <w:uiPriority w:val="99"/>
    <w:unhideWhenUsed/>
    <w:rsid w:val="00B85DCE"/>
    <w:rPr>
      <w:color w:val="467886" w:themeColor="hyperlink"/>
      <w:u w:val="single"/>
    </w:rPr>
  </w:style>
  <w:style w:type="character" w:styleId="UnresolvedMention">
    <w:name w:val="Unresolved Mention"/>
    <w:basedOn w:val="DefaultParagraphFont"/>
    <w:uiPriority w:val="99"/>
    <w:semiHidden/>
    <w:unhideWhenUsed/>
    <w:rsid w:val="00B8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www.oudesignshow.org%2F&amp;data=05%7C02%7Cteresa.cox%40open.ac.uk%7Ce4466f45bda048d6354308dc5e2a5f72%7C0e2ed45596af4100bed3a8e5fd981685%7C0%7C0%7C638488783276800393%7CUnknown%7CTWFpbGZsb3d8eyJWIjoiMC4wLjAwMDAiLCJQIjoiV2luMzIiLCJBTiI6Ik1haWwiLCJXVCI6Mn0%3D%7C0%7C%7C%7C&amp;sdata=f%2BYD9CXRimIyYbQFXgyBWjQZfrYygsa98NGGntAl0MQ%3D&amp;reserved=0" TargetMode="External"/><Relationship Id="rId5" Type="http://schemas.openxmlformats.org/officeDocument/2006/relationships/styles" Target="styles.xml"/><Relationship Id="rId10" Type="http://schemas.openxmlformats.org/officeDocument/2006/relationships/hyperlink" Target="https://www.open.edu/openlearn/nature-environment/the-open-universitys-carbon-calcul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17c2f1f1-6d21-4c7d-a1ac-5f7e60310577">1</number>
    <TaxCatchAll xmlns="e4476828-269d-41e7-8c7f-463a607b843c" xsi:nil="true"/>
    <lcf76f155ced4ddcb4097134ff3c332f xmlns="17c2f1f1-6d21-4c7d-a1ac-5f7e60310577">
      <Terms xmlns="http://schemas.microsoft.com/office/infopath/2007/PartnerControls"/>
    </lcf76f155ced4ddcb4097134ff3c332f>
    <TaxKeywordTaxHTField xmlns="e4476828-269d-41e7-8c7f-463a607b843c">
      <Terms xmlns="http://schemas.microsoft.com/office/infopath/2007/PartnerControls"/>
    </TaxKeywordTaxHTField>
    <Comments xmlns="17c2f1f1-6d21-4c7d-a1ac-5f7e60310577" xsi:nil="true"/>
  </documentManagement>
</p:properties>
</file>

<file path=customXml/itemProps1.xml><?xml version="1.0" encoding="utf-8"?>
<ds:datastoreItem xmlns:ds="http://schemas.openxmlformats.org/officeDocument/2006/customXml" ds:itemID="{20CFEABE-31E5-48E9-8DE6-5929696C6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B747-5BA6-4932-923C-884FE67553AA}">
  <ds:schemaRefs>
    <ds:schemaRef ds:uri="http://schemas.microsoft.com/sharepoint/v3/contenttype/forms"/>
  </ds:schemaRefs>
</ds:datastoreItem>
</file>

<file path=customXml/itemProps3.xml><?xml version="1.0" encoding="utf-8"?>
<ds:datastoreItem xmlns:ds="http://schemas.openxmlformats.org/officeDocument/2006/customXml" ds:itemID="{0F51B098-764A-4376-A7F0-BBB75C5025FC}">
  <ds:schemaRefs>
    <ds:schemaRef ds:uri="http://purl.org/dc/elements/1.1/"/>
    <ds:schemaRef ds:uri="http://schemas.microsoft.com/office/2006/metadata/properties"/>
    <ds:schemaRef ds:uri="17c2f1f1-6d21-4c7d-a1ac-5f7e60310577"/>
    <ds:schemaRef ds:uri="http://purl.org/dc/terms/"/>
    <ds:schemaRef ds:uri="http://schemas.openxmlformats.org/package/2006/metadata/core-properties"/>
    <ds:schemaRef ds:uri="e4476828-269d-41e7-8c7f-463a607b843c"/>
    <ds:schemaRef ds:uri="http://schemas.microsoft.com/office/2006/documentManagement/types"/>
    <ds:schemaRef ds:uri="http://schemas.microsoft.com/office/infopath/2007/PartnerControls"/>
    <ds:schemaRef ds:uri="0352b25e-b53d-44bf-ad47-923fa40f72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2077</Words>
  <Characters>11991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Paul.Astles</dc:creator>
  <cp:keywords/>
  <dc:description/>
  <cp:lastModifiedBy>Catriona.Matthews</cp:lastModifiedBy>
  <cp:revision>12</cp:revision>
  <dcterms:created xsi:type="dcterms:W3CDTF">2026-03-24T18:06:00Z</dcterms:created>
  <dcterms:modified xsi:type="dcterms:W3CDTF">2026-03-24T18:49:00Z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TaxKeyword">
    <vt:lpwstr/>
  </property>
  <property fmtid="{D5CDD505-2E9C-101B-9397-08002B2CF9AE}" pid="4" name="MediaServiceImageTags">
    <vt:lpwstr/>
  </property>
</Properties>
</file>