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gif" ContentType="image/gif"/>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77F3" w:rsidRDefault="00156113" w:rsidP="00156113">
      <w:pPr>
        <w:rPr>
          <w:rFonts w:cs="Arial"/>
        </w:rPr>
      </w:pPr>
      <w:r>
        <w:rPr>
          <w:rFonts w:cs="Arial"/>
        </w:rPr>
        <w:t xml:space="preserve">  </w:t>
      </w:r>
      <w:r w:rsidR="00D54B64" w:rsidRPr="00D54B64">
        <w:rPr>
          <w:rFonts w:cs="Arial"/>
          <w:noProof/>
          <w:lang w:val="en-US" w:eastAsia="en-US"/>
        </w:rPr>
        <w:drawing>
          <wp:inline distT="0" distB="0" distL="0" distR="0">
            <wp:extent cx="5543550" cy="793449"/>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 logo for name badges.png"/>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tretch>
                      <a:fillRect/>
                    </a:stretch>
                  </pic:blipFill>
                  <pic:spPr>
                    <a:xfrm>
                      <a:off x="0" y="0"/>
                      <a:ext cx="5586333" cy="799573"/>
                    </a:xfrm>
                    <a:prstGeom prst="rect">
                      <a:avLst/>
                    </a:prstGeom>
                  </pic:spPr>
                </pic:pic>
              </a:graphicData>
            </a:graphic>
          </wp:inline>
        </w:drawing>
      </w:r>
      <w:r>
        <w:rPr>
          <w:rFonts w:cs="Arial"/>
        </w:rPr>
        <w:t xml:space="preserve">            </w:t>
      </w:r>
    </w:p>
    <w:p w:rsidR="003F32FB" w:rsidRDefault="00321403" w:rsidP="003F32FB">
      <w:pPr>
        <w:pStyle w:val="Titleofreport"/>
        <w:spacing w:after="0" w:line="360" w:lineRule="auto"/>
        <w:rPr>
          <w:color w:val="808080" w:themeColor="background1" w:themeShade="80"/>
        </w:rPr>
      </w:pPr>
      <w:r>
        <w:rPr>
          <w:color w:val="808080" w:themeColor="background1" w:themeShade="80"/>
        </w:rPr>
        <w:t xml:space="preserve">OEPS briefing </w:t>
      </w:r>
    </w:p>
    <w:p w:rsidR="004767EE" w:rsidRPr="004767EE" w:rsidRDefault="00C1001D" w:rsidP="004767EE">
      <w:pPr>
        <w:pStyle w:val="Titleofreport"/>
        <w:rPr>
          <w:bCs/>
          <w:lang w:val="en-US"/>
        </w:rPr>
      </w:pPr>
      <w:r>
        <w:rPr>
          <w:bCs/>
          <w:lang w:val="en-US"/>
        </w:rPr>
        <w:t>Open Learning Champions</w:t>
      </w:r>
    </w:p>
    <w:p w:rsidR="00321403" w:rsidRDefault="00C1001D" w:rsidP="00321403">
      <w:pPr>
        <w:pStyle w:val="Heading2"/>
      </w:pPr>
      <w:r>
        <w:t>About this briefing</w:t>
      </w:r>
    </w:p>
    <w:p w:rsidR="00C1001D" w:rsidRDefault="00AE7453" w:rsidP="00E3454B">
      <w:pPr>
        <w:spacing w:line="240" w:lineRule="auto"/>
      </w:pPr>
      <w:r>
        <w:t xml:space="preserve">These notes </w:t>
      </w:r>
      <w:r w:rsidR="00C1001D">
        <w:t xml:space="preserve">provide a short outline of the rationale for Open Learning Champions and links to useful resources and further reading.  </w:t>
      </w:r>
      <w:r w:rsidR="00C1001D">
        <w:rPr>
          <w:lang w:val="en-US"/>
        </w:rPr>
        <w:t xml:space="preserve">It is one of a series produced by the Opening Educational Practices in Scotland (OEPS) project.  </w:t>
      </w:r>
      <w:r w:rsidR="00C1001D">
        <w:t xml:space="preserve">OEPS was </w:t>
      </w:r>
      <w:r w:rsidR="00C1001D" w:rsidRPr="00321403">
        <w:t>a thre</w:t>
      </w:r>
      <w:r w:rsidR="00C1001D">
        <w:t>e-year cross-sector project to facilitate</w:t>
      </w:r>
      <w:r w:rsidR="00C1001D" w:rsidRPr="00321403">
        <w:t xml:space="preserve"> best practic</w:t>
      </w:r>
      <w:r w:rsidR="00C1001D">
        <w:t xml:space="preserve">e in Scottish open education. </w:t>
      </w:r>
      <w:r w:rsidR="00C1001D" w:rsidRPr="00321403">
        <w:t xml:space="preserve"> </w:t>
      </w:r>
      <w:r w:rsidR="00C1001D">
        <w:t xml:space="preserve">The project had a specific focus on widening participation and social justice.  This briefing and others in the series reflects the focus and objectives of the project.  Find out more </w:t>
      </w:r>
      <w:r w:rsidR="00C1001D" w:rsidRPr="002778AD">
        <w:t xml:space="preserve">about OEPS at </w:t>
      </w:r>
      <w:hyperlink r:id="rId8" w:history="1">
        <w:r w:rsidR="00C1001D" w:rsidRPr="002778AD">
          <w:rPr>
            <w:rStyle w:val="Hyperlink"/>
            <w:color w:val="auto"/>
          </w:rPr>
          <w:t>www.oepscotland.org</w:t>
        </w:r>
      </w:hyperlink>
      <w:r w:rsidR="00C1001D" w:rsidRPr="002778AD">
        <w:t xml:space="preserve"> and access reports, case studies and good practice guides </w:t>
      </w:r>
      <w:r w:rsidR="00C1001D">
        <w:t xml:space="preserve">from the </w:t>
      </w:r>
      <w:hyperlink r:id="rId9" w:history="1">
        <w:r w:rsidR="00C1001D" w:rsidRPr="00852DA5">
          <w:rPr>
            <w:rStyle w:val="Hyperlink"/>
          </w:rPr>
          <w:t>OEPS legacy collection</w:t>
        </w:r>
      </w:hyperlink>
      <w:r w:rsidR="00C1001D">
        <w:t>.</w:t>
      </w:r>
    </w:p>
    <w:p w:rsidR="00C1001D" w:rsidRDefault="000E435C" w:rsidP="00C1001D">
      <w:pPr>
        <w:pStyle w:val="Heading2"/>
      </w:pPr>
      <w:r>
        <w:t xml:space="preserve">Why </w:t>
      </w:r>
      <w:r w:rsidR="00C1001D">
        <w:t>OpenLearning Champions?</w:t>
      </w:r>
    </w:p>
    <w:p w:rsidR="00C1001D" w:rsidRDefault="00C1001D" w:rsidP="00E3454B">
      <w:pPr>
        <w:spacing w:line="240" w:lineRule="auto"/>
        <w:rPr>
          <w:rFonts w:asciiTheme="majorHAnsi" w:hAnsiTheme="majorHAnsi"/>
        </w:rPr>
      </w:pPr>
      <w:r w:rsidRPr="003A0872">
        <w:rPr>
          <w:rFonts w:asciiTheme="majorHAnsi" w:hAnsiTheme="majorHAnsi"/>
        </w:rPr>
        <w:t xml:space="preserve">The last few years have seen a huge increase in access to digital devices – laptops, tablets and smart phones.  At the same time there has also been a rapid increase in the availability of free online courses that cover almost any topic you can think of.  So far, these developments have tended to increase the choices open to those with experience of higher education but haven’t had a significant impact on those who need support most.  But this new ‘digital divide’ isn’t inevitable.   </w:t>
      </w:r>
    </w:p>
    <w:p w:rsidR="00C1001D" w:rsidRDefault="00C1001D" w:rsidP="00E3454B">
      <w:pPr>
        <w:spacing w:line="240" w:lineRule="auto"/>
        <w:rPr>
          <w:rFonts w:asciiTheme="majorHAnsi" w:hAnsiTheme="majorHAnsi"/>
        </w:rPr>
      </w:pPr>
      <w:r>
        <w:rPr>
          <w:rFonts w:asciiTheme="majorHAnsi" w:hAnsiTheme="majorHAnsi"/>
        </w:rPr>
        <w:t xml:space="preserve">A separate OEPS report in the OEPS legacy collection, ‘Breaking down barriers to widening participation’, looks in more depth at the factors that deter non-traditional learners from using free online courses.  </w:t>
      </w:r>
    </w:p>
    <w:p w:rsidR="00C1001D" w:rsidRDefault="00C1001D" w:rsidP="00E3454B">
      <w:pPr>
        <w:spacing w:line="240" w:lineRule="auto"/>
        <w:rPr>
          <w:rFonts w:asciiTheme="majorHAnsi" w:hAnsiTheme="majorHAnsi"/>
        </w:rPr>
      </w:pPr>
      <w:r>
        <w:rPr>
          <w:rFonts w:asciiTheme="majorHAnsi" w:hAnsiTheme="majorHAnsi"/>
        </w:rPr>
        <w:t xml:space="preserve">Research by Fred Garnett (Smith and Cook, 2002) noted that </w:t>
      </w:r>
    </w:p>
    <w:p w:rsidR="00C1001D" w:rsidRPr="00C1001D" w:rsidRDefault="00C1001D" w:rsidP="00E3454B">
      <w:pPr>
        <w:spacing w:line="240" w:lineRule="auto"/>
        <w:ind w:left="720"/>
        <w:rPr>
          <w:rFonts w:asciiTheme="majorHAnsi" w:hAnsiTheme="majorHAnsi"/>
          <w:i/>
        </w:rPr>
      </w:pPr>
      <w:r w:rsidRPr="00C1001D">
        <w:rPr>
          <w:rFonts w:asciiTheme="majorHAnsi" w:hAnsiTheme="majorHAnsi"/>
          <w:i/>
        </w:rPr>
        <w:t xml:space="preserve">‘… </w:t>
      </w:r>
      <w:proofErr w:type="gramStart"/>
      <w:r w:rsidRPr="00C1001D">
        <w:rPr>
          <w:i/>
        </w:rPr>
        <w:t>there</w:t>
      </w:r>
      <w:proofErr w:type="gramEnd"/>
      <w:r w:rsidRPr="00C1001D">
        <w:rPr>
          <w:i/>
        </w:rPr>
        <w:t xml:space="preserve"> is no digital content that, in itself, alleviates digital divides. Rather, a more complicated picture exists concerning</w:t>
      </w:r>
      <w:r w:rsidRPr="00C1001D">
        <w:rPr>
          <w:rFonts w:asciiTheme="majorHAnsi" w:hAnsiTheme="majorHAnsi"/>
          <w:i/>
        </w:rPr>
        <w:t xml:space="preserve"> </w:t>
      </w:r>
      <w:r w:rsidRPr="00C1001D">
        <w:rPr>
          <w:i/>
        </w:rPr>
        <w:t>content creation and the learning relationships that support such a process. The</w:t>
      </w:r>
      <w:r w:rsidRPr="00C1001D">
        <w:rPr>
          <w:rFonts w:asciiTheme="majorHAnsi" w:hAnsiTheme="majorHAnsi"/>
          <w:i/>
        </w:rPr>
        <w:t xml:space="preserve"> </w:t>
      </w:r>
      <w:r w:rsidRPr="00C1001D">
        <w:rPr>
          <w:i/>
        </w:rPr>
        <w:t>recommendation of the research was that content creation tools and new skills in the</w:t>
      </w:r>
      <w:r w:rsidRPr="00C1001D">
        <w:rPr>
          <w:rFonts w:asciiTheme="majorHAnsi" w:hAnsiTheme="majorHAnsi"/>
          <w:i/>
        </w:rPr>
        <w:t xml:space="preserve"> </w:t>
      </w:r>
      <w:r w:rsidRPr="00C1001D">
        <w:rPr>
          <w:i/>
        </w:rPr>
        <w:t>“trusted intermediaries’’ who support learning in digital contexts were needed, …’</w:t>
      </w:r>
    </w:p>
    <w:p w:rsidR="00B871B7" w:rsidRDefault="00C1001D" w:rsidP="00E3454B">
      <w:pPr>
        <w:spacing w:line="240" w:lineRule="auto"/>
        <w:rPr>
          <w:rFonts w:asciiTheme="majorHAnsi" w:hAnsiTheme="majorHAnsi"/>
        </w:rPr>
      </w:pPr>
      <w:r>
        <w:rPr>
          <w:rFonts w:asciiTheme="majorHAnsi" w:hAnsiTheme="majorHAnsi"/>
        </w:rPr>
        <w:t>Adult learners</w:t>
      </w:r>
      <w:r w:rsidRPr="003A0872">
        <w:rPr>
          <w:rFonts w:asciiTheme="majorHAnsi" w:hAnsiTheme="majorHAnsi"/>
        </w:rPr>
        <w:t xml:space="preserve"> who achieve qualifications </w:t>
      </w:r>
      <w:r>
        <w:rPr>
          <w:rFonts w:asciiTheme="majorHAnsi" w:hAnsiTheme="majorHAnsi"/>
        </w:rPr>
        <w:t xml:space="preserve">often </w:t>
      </w:r>
      <w:r w:rsidRPr="003A0872">
        <w:rPr>
          <w:rFonts w:asciiTheme="majorHAnsi" w:hAnsiTheme="majorHAnsi"/>
        </w:rPr>
        <w:t xml:space="preserve">do so as the culmination of learning journeys that often start with short episodes of informal learning.  These journeys are personal, unique to each individual but also dependent on support and encourage from </w:t>
      </w:r>
      <w:r>
        <w:rPr>
          <w:rFonts w:asciiTheme="majorHAnsi" w:hAnsiTheme="majorHAnsi"/>
        </w:rPr>
        <w:t xml:space="preserve">“trusted intermediaries”, </w:t>
      </w:r>
      <w:r w:rsidRPr="003A0872">
        <w:rPr>
          <w:rFonts w:asciiTheme="majorHAnsi" w:hAnsiTheme="majorHAnsi"/>
        </w:rPr>
        <w:t>friends, family and colleagues.</w:t>
      </w:r>
      <w:r>
        <w:rPr>
          <w:rFonts w:asciiTheme="majorHAnsi" w:hAnsiTheme="majorHAnsi"/>
        </w:rPr>
        <w:t xml:space="preserve">   Trusted intermediaries can be found in a very wide range of roles in third sector organisations, trade unions and more informal community settings.  </w:t>
      </w:r>
      <w:proofErr w:type="spellStart"/>
      <w:r w:rsidR="00B871B7">
        <w:rPr>
          <w:rFonts w:asciiTheme="majorHAnsi" w:hAnsiTheme="majorHAnsi"/>
        </w:rPr>
        <w:t>Jonassen</w:t>
      </w:r>
      <w:proofErr w:type="spellEnd"/>
      <w:r w:rsidR="00B871B7">
        <w:rPr>
          <w:rFonts w:asciiTheme="majorHAnsi" w:hAnsiTheme="majorHAnsi"/>
        </w:rPr>
        <w:t xml:space="preserve"> et al (2003</w:t>
      </w:r>
      <w:r w:rsidR="000E435C">
        <w:rPr>
          <w:rFonts w:asciiTheme="majorHAnsi" w:hAnsiTheme="majorHAnsi"/>
        </w:rPr>
        <w:t>: 71</w:t>
      </w:r>
      <w:r w:rsidR="00B871B7">
        <w:rPr>
          <w:rFonts w:asciiTheme="majorHAnsi" w:hAnsiTheme="majorHAnsi"/>
        </w:rPr>
        <w:t xml:space="preserve">) note that </w:t>
      </w:r>
    </w:p>
    <w:p w:rsidR="00B871B7" w:rsidRPr="00B871B7" w:rsidRDefault="00B871B7" w:rsidP="00E3454B">
      <w:pPr>
        <w:spacing w:line="240" w:lineRule="auto"/>
        <w:ind w:left="720"/>
        <w:rPr>
          <w:i/>
        </w:rPr>
      </w:pPr>
      <w:r w:rsidRPr="00B871B7">
        <w:rPr>
          <w:i/>
        </w:rPr>
        <w:t xml:space="preserve">‘… </w:t>
      </w:r>
      <w:proofErr w:type="gramStart"/>
      <w:r w:rsidRPr="00B871B7">
        <w:rPr>
          <w:i/>
        </w:rPr>
        <w:t>learning</w:t>
      </w:r>
      <w:proofErr w:type="gramEnd"/>
      <w:r w:rsidRPr="00B871B7">
        <w:rPr>
          <w:i/>
        </w:rPr>
        <w:t xml:space="preserve"> starts with individuals and communities. The desire to learn, a natural desire, is often constructed as informal learning and comes from individuals or groups with interests who may organise and access resources in pursuit of that interest: </w:t>
      </w:r>
      <w:r w:rsidRPr="00B871B7">
        <w:rPr>
          <w:i/>
          <w:szCs w:val="18"/>
        </w:rPr>
        <w:t>In the real world, when people need to learn something, they usually do not remove</w:t>
      </w:r>
      <w:r w:rsidRPr="00B871B7">
        <w:rPr>
          <w:i/>
        </w:rPr>
        <w:t xml:space="preserve"> </w:t>
      </w:r>
      <w:r w:rsidRPr="00B871B7">
        <w:rPr>
          <w:i/>
          <w:szCs w:val="18"/>
        </w:rPr>
        <w:t>themselves from their normal situations and force themselves into sterile rooms to listen</w:t>
      </w:r>
      <w:r w:rsidRPr="00B871B7">
        <w:rPr>
          <w:i/>
        </w:rPr>
        <w:t xml:space="preserve"> </w:t>
      </w:r>
      <w:r w:rsidRPr="00B871B7">
        <w:rPr>
          <w:i/>
          <w:szCs w:val="18"/>
        </w:rPr>
        <w:t>to lectures on formal principles about what they are doing. Rather, they tend to form</w:t>
      </w:r>
      <w:r w:rsidRPr="00B871B7">
        <w:rPr>
          <w:i/>
        </w:rPr>
        <w:t xml:space="preserve"> </w:t>
      </w:r>
      <w:r w:rsidRPr="00B871B7">
        <w:rPr>
          <w:i/>
          <w:szCs w:val="18"/>
        </w:rPr>
        <w:t>work groups (practice communities), assign roles, teach and support each other, and</w:t>
      </w:r>
      <w:r w:rsidRPr="00B871B7">
        <w:rPr>
          <w:i/>
        </w:rPr>
        <w:t xml:space="preserve"> </w:t>
      </w:r>
      <w:r w:rsidRPr="00B871B7">
        <w:rPr>
          <w:i/>
          <w:szCs w:val="18"/>
        </w:rPr>
        <w:t>develop identities that are defined by the roles they play in support of the group.’</w:t>
      </w:r>
      <w:r>
        <w:rPr>
          <w:i/>
        </w:rPr>
        <w:t xml:space="preserve"> </w:t>
      </w:r>
    </w:p>
    <w:p w:rsidR="00B871B7" w:rsidRDefault="00B871B7" w:rsidP="00B871B7">
      <w:pPr>
        <w:pStyle w:val="Heading2"/>
      </w:pPr>
      <w:r>
        <w:t>What is an OpenLearning Champion?</w:t>
      </w:r>
    </w:p>
    <w:p w:rsidR="00C1001D" w:rsidRPr="003A0872" w:rsidRDefault="00B871B7" w:rsidP="00E3454B">
      <w:pPr>
        <w:spacing w:line="240" w:lineRule="auto"/>
        <w:rPr>
          <w:rFonts w:asciiTheme="majorHAnsi" w:hAnsiTheme="majorHAnsi"/>
        </w:rPr>
      </w:pPr>
      <w:r w:rsidRPr="003A0872">
        <w:rPr>
          <w:rFonts w:asciiTheme="majorHAnsi" w:hAnsiTheme="majorHAnsi"/>
        </w:rPr>
        <w:t xml:space="preserve">The idea of an Open Learning Champion is simple.   A ‘Champion’ is someone in a workplace or a community setting who is enthusiastic about opening up learning opportunities, whom their colleagues trust, and who can help them on the first steps of a learning journey.  They are not a teacher, a tutor, a computer geek or an expert on any particular course.  They act to facilitate, bring people together in learning groups, support and encourage.  </w:t>
      </w:r>
    </w:p>
    <w:p w:rsidR="00B871B7" w:rsidRDefault="00B871B7" w:rsidP="00B871B7">
      <w:pPr>
        <w:pStyle w:val="Heading2"/>
      </w:pPr>
      <w:r>
        <w:t>Examples of the Open Learning Champion Model</w:t>
      </w:r>
    </w:p>
    <w:p w:rsidR="00B871B7" w:rsidRDefault="00B871B7" w:rsidP="00E3454B">
      <w:pPr>
        <w:spacing w:line="240" w:lineRule="auto"/>
      </w:pPr>
      <w:r>
        <w:t>The Open University in Wales and the Open University in Scotland have both established variants of the Open Learning Champions model.  More details of each scheme can be found at:</w:t>
      </w:r>
    </w:p>
    <w:p w:rsidR="00B871B7" w:rsidRDefault="00B871B7" w:rsidP="00E3454B">
      <w:pPr>
        <w:spacing w:line="240" w:lineRule="auto"/>
        <w:rPr>
          <w:rFonts w:asciiTheme="majorHAnsi" w:hAnsiTheme="majorHAnsi"/>
        </w:rPr>
      </w:pPr>
      <w:hyperlink r:id="rId10" w:history="1">
        <w:r w:rsidRPr="007929AD">
          <w:rPr>
            <w:rStyle w:val="Hyperlink"/>
            <w:rFonts w:asciiTheme="majorHAnsi" w:hAnsiTheme="majorHAnsi"/>
          </w:rPr>
          <w:t>http://www.open.ac.uk/wales/our-work/community/openlearn-champions</w:t>
        </w:r>
      </w:hyperlink>
    </w:p>
    <w:p w:rsidR="00B871B7" w:rsidRDefault="00B871B7" w:rsidP="00E3454B">
      <w:pPr>
        <w:spacing w:line="240" w:lineRule="auto"/>
      </w:pPr>
      <w:proofErr w:type="gramStart"/>
      <w:r>
        <w:t>and</w:t>
      </w:r>
      <w:proofErr w:type="gramEnd"/>
    </w:p>
    <w:p w:rsidR="00B871B7" w:rsidRDefault="00B871B7" w:rsidP="00E3454B">
      <w:pPr>
        <w:spacing w:line="240" w:lineRule="auto"/>
        <w:rPr>
          <w:rFonts w:asciiTheme="majorHAnsi" w:hAnsiTheme="majorHAnsi"/>
        </w:rPr>
      </w:pPr>
      <w:hyperlink r:id="rId11" w:history="1">
        <w:r w:rsidRPr="007929AD">
          <w:rPr>
            <w:rStyle w:val="Hyperlink"/>
            <w:rFonts w:asciiTheme="majorHAnsi" w:hAnsiTheme="majorHAnsi"/>
          </w:rPr>
          <w:t>http://www.open.ac.uk/scotland/our-work/open-learning-champions</w:t>
        </w:r>
      </w:hyperlink>
    </w:p>
    <w:p w:rsidR="00C1001D" w:rsidRDefault="00B871B7" w:rsidP="00E3454B">
      <w:pPr>
        <w:spacing w:line="240" w:lineRule="auto"/>
      </w:pPr>
      <w:r>
        <w:t>The OEPS project worked with Scot</w:t>
      </w:r>
      <w:r w:rsidR="008D2FEB">
        <w:t xml:space="preserve">tish Union Learning to explore </w:t>
      </w:r>
      <w:r>
        <w:t>barriers to parti</w:t>
      </w:r>
      <w:r w:rsidR="008D2FEB">
        <w:t xml:space="preserve">cipation in online learning.  The insights into good practice that resulted are collated in a short open course, </w:t>
      </w:r>
      <w:hyperlink r:id="rId12" w:history="1">
        <w:r w:rsidR="008D2FEB" w:rsidRPr="008D2FEB">
          <w:rPr>
            <w:rStyle w:val="Hyperlink"/>
          </w:rPr>
          <w:t>‘Supporting Collective Learning in Workplace and Community Settings’</w:t>
        </w:r>
      </w:hyperlink>
      <w:r w:rsidR="008D2FEB">
        <w:t xml:space="preserve">. </w:t>
      </w:r>
      <w:r w:rsidR="00A27558">
        <w:t xml:space="preserve"> For more details see Cannell and Macintyre (2016).</w:t>
      </w:r>
    </w:p>
    <w:p w:rsidR="000E435C" w:rsidRDefault="00A27558" w:rsidP="000E435C">
      <w:pPr>
        <w:pStyle w:val="Heading2"/>
      </w:pPr>
      <w:r>
        <w:t>Further Reading</w:t>
      </w:r>
    </w:p>
    <w:p w:rsidR="000E435C" w:rsidRDefault="000E435C" w:rsidP="00E3454B">
      <w:pPr>
        <w:spacing w:line="240" w:lineRule="auto"/>
        <w:rPr>
          <w:rFonts w:asciiTheme="majorHAnsi" w:hAnsiTheme="majorHAnsi"/>
        </w:rPr>
      </w:pPr>
      <w:r>
        <w:rPr>
          <w:rFonts w:asciiTheme="majorHAnsi" w:hAnsiTheme="majorHAnsi"/>
        </w:rPr>
        <w:t xml:space="preserve">Case study interview with Gill Ryan in OEPS impact case studies – part of the </w:t>
      </w:r>
      <w:hyperlink r:id="rId13" w:history="1">
        <w:r w:rsidRPr="00852DA5">
          <w:rPr>
            <w:rStyle w:val="Hyperlink"/>
          </w:rPr>
          <w:t>OEPS legacy collection</w:t>
        </w:r>
      </w:hyperlink>
      <w:r>
        <w:t>.</w:t>
      </w:r>
    </w:p>
    <w:p w:rsidR="00A27558" w:rsidRPr="00E3454B" w:rsidRDefault="00A27558" w:rsidP="00E3454B">
      <w:pPr>
        <w:spacing w:line="240" w:lineRule="auto"/>
        <w:rPr>
          <w:rStyle w:val="ArticleTitle"/>
          <w:rFonts w:asciiTheme="majorHAnsi" w:hAnsiTheme="majorHAnsi"/>
          <w:b w:val="0"/>
          <w:sz w:val="24"/>
        </w:rPr>
      </w:pPr>
      <w:r w:rsidRPr="00E3454B">
        <w:rPr>
          <w:rFonts w:asciiTheme="majorHAnsi" w:hAnsiTheme="majorHAnsi"/>
        </w:rPr>
        <w:t>Cannell, P. and Macintyre, R. (2016)</w:t>
      </w:r>
      <w:r w:rsidRPr="00E3454B">
        <w:rPr>
          <w:rFonts w:asciiTheme="majorHAnsi" w:hAnsiTheme="majorHAnsi"/>
          <w:b/>
        </w:rPr>
        <w:t xml:space="preserve"> </w:t>
      </w:r>
      <w:bookmarkStart w:id="0" w:name="_GoBack"/>
      <w:bookmarkEnd w:id="0"/>
      <w:sdt>
        <w:sdtPr>
          <w:rPr>
            <w:rStyle w:val="ArticleTitle"/>
            <w:rFonts w:asciiTheme="majorHAnsi" w:eastAsiaTheme="minorHAnsi" w:hAnsiTheme="majorHAnsi"/>
            <w:b w:val="0"/>
            <w:sz w:val="24"/>
            <w:lang w:eastAsia="en-US"/>
          </w:rPr>
          <w:alias w:val="Article Title"/>
          <w:tag w:val="Article Title"/>
          <w:id w:val="2115473941"/>
          <w:placeholder>
            <w:docPart w:val="B03668261C6E144D859EAD9001433192"/>
          </w:placeholder>
        </w:sdtPr>
        <w:sdtEndPr>
          <w:rPr>
            <w:rStyle w:val="ArticleTitle"/>
            <w:rFonts w:eastAsiaTheme="minorEastAsia"/>
            <w:lang w:eastAsia="ja-JP"/>
          </w:rPr>
        </w:sdtEndPr>
        <w:sdtContent>
          <w:r w:rsidRPr="00E3454B">
            <w:rPr>
              <w:rStyle w:val="ArticleTitle"/>
              <w:rFonts w:asciiTheme="majorHAnsi" w:eastAsiaTheme="minorHAnsi" w:hAnsiTheme="majorHAnsi"/>
              <w:b w:val="0"/>
              <w:sz w:val="24"/>
              <w:lang w:eastAsia="en-US"/>
            </w:rPr>
            <w:t>Free open online resources in workplace and community settings – a case study on overcoming barriers</w:t>
          </w:r>
          <w:r w:rsidR="00E3454B">
            <w:rPr>
              <w:rStyle w:val="ArticleTitle"/>
              <w:rFonts w:asciiTheme="majorHAnsi" w:eastAsiaTheme="minorHAnsi" w:hAnsiTheme="majorHAnsi"/>
              <w:b w:val="0"/>
              <w:sz w:val="24"/>
              <w:lang w:eastAsia="en-US"/>
            </w:rPr>
            <w:t xml:space="preserve">.  </w:t>
          </w:r>
          <w:proofErr w:type="gramStart"/>
          <w:r w:rsidR="00E3454B" w:rsidRPr="00E3454B">
            <w:rPr>
              <w:rStyle w:val="ArticleTitle"/>
              <w:rFonts w:asciiTheme="majorHAnsi" w:eastAsiaTheme="minorHAnsi" w:hAnsiTheme="majorHAnsi"/>
              <w:b w:val="0"/>
              <w:i/>
              <w:sz w:val="24"/>
              <w:lang w:eastAsia="en-US"/>
            </w:rPr>
            <w:t>Widening Participation and Lifelong Learning</w:t>
          </w:r>
          <w:r w:rsidR="00E3454B">
            <w:rPr>
              <w:rStyle w:val="ArticleTitle"/>
              <w:rFonts w:asciiTheme="majorHAnsi" w:eastAsiaTheme="minorHAnsi" w:hAnsiTheme="majorHAnsi"/>
              <w:b w:val="0"/>
              <w:sz w:val="24"/>
              <w:lang w:eastAsia="en-US"/>
            </w:rPr>
            <w:t>, 19(1), pp111-122.</w:t>
          </w:r>
          <w:proofErr w:type="gramEnd"/>
        </w:sdtContent>
      </w:sdt>
    </w:p>
    <w:p w:rsidR="000E435C" w:rsidRDefault="00E3454B" w:rsidP="00E3454B">
      <w:pPr>
        <w:spacing w:line="240" w:lineRule="auto"/>
        <w:rPr>
          <w:rFonts w:asciiTheme="majorHAnsi" w:hAnsiTheme="majorHAnsi"/>
          <w:color w:val="000000"/>
        </w:rPr>
      </w:pPr>
      <w:proofErr w:type="spellStart"/>
      <w:r w:rsidRPr="00E3454B">
        <w:rPr>
          <w:rFonts w:asciiTheme="majorHAnsi" w:hAnsiTheme="majorHAnsi"/>
          <w:color w:val="000000"/>
        </w:rPr>
        <w:t>Jonassen</w:t>
      </w:r>
      <w:proofErr w:type="spellEnd"/>
      <w:r w:rsidRPr="00E3454B">
        <w:rPr>
          <w:rFonts w:asciiTheme="majorHAnsi" w:hAnsiTheme="majorHAnsi"/>
          <w:color w:val="000000"/>
        </w:rPr>
        <w:t xml:space="preserve">, D., et al., (2003) </w:t>
      </w:r>
      <w:proofErr w:type="gramStart"/>
      <w:r w:rsidRPr="00E3454B">
        <w:rPr>
          <w:rFonts w:asciiTheme="majorHAnsi" w:hAnsiTheme="majorHAnsi"/>
          <w:i/>
          <w:color w:val="000000"/>
        </w:rPr>
        <w:t>Learning</w:t>
      </w:r>
      <w:proofErr w:type="gramEnd"/>
      <w:r w:rsidRPr="00E3454B">
        <w:rPr>
          <w:rFonts w:asciiTheme="majorHAnsi" w:hAnsiTheme="majorHAnsi"/>
          <w:i/>
          <w:color w:val="000000"/>
        </w:rPr>
        <w:t xml:space="preserve"> to Solve Problems with Technology: A Constructivist Perspective</w:t>
      </w:r>
      <w:r w:rsidRPr="00E3454B">
        <w:rPr>
          <w:rFonts w:asciiTheme="majorHAnsi" w:hAnsiTheme="majorHAnsi"/>
          <w:color w:val="000000"/>
        </w:rPr>
        <w:t>, Merrill, London.</w:t>
      </w:r>
    </w:p>
    <w:p w:rsidR="000E435C" w:rsidRDefault="000E435C" w:rsidP="00E3454B">
      <w:pPr>
        <w:spacing w:line="240" w:lineRule="auto"/>
        <w:rPr>
          <w:rFonts w:asciiTheme="majorHAnsi" w:hAnsiTheme="majorHAnsi"/>
          <w:color w:val="000000"/>
        </w:rPr>
      </w:pPr>
      <w:r>
        <w:rPr>
          <w:rFonts w:asciiTheme="majorHAnsi" w:hAnsiTheme="majorHAnsi"/>
          <w:color w:val="000000"/>
        </w:rPr>
        <w:t xml:space="preserve">Macintyre, R. (2015) OEPS working with Scottish Union Learning Education Champions, </w:t>
      </w:r>
      <w:r w:rsidRPr="000E435C">
        <w:rPr>
          <w:rFonts w:asciiTheme="majorHAnsi" w:hAnsiTheme="majorHAnsi"/>
          <w:color w:val="000000"/>
        </w:rPr>
        <w:t>https://oepscotland.org/2015/10/22/oeps-working-with-scottish-union-learn-education-champions/</w:t>
      </w:r>
    </w:p>
    <w:p w:rsidR="00A27558" w:rsidRPr="00E3454B" w:rsidRDefault="000E435C" w:rsidP="00E3454B">
      <w:pPr>
        <w:spacing w:line="240" w:lineRule="auto"/>
        <w:rPr>
          <w:rFonts w:asciiTheme="majorHAnsi" w:hAnsiTheme="majorHAnsi"/>
          <w:color w:val="000000"/>
        </w:rPr>
      </w:pPr>
      <w:r>
        <w:rPr>
          <w:rFonts w:asciiTheme="majorHAnsi" w:hAnsiTheme="majorHAnsi"/>
          <w:color w:val="000000"/>
        </w:rPr>
        <w:t xml:space="preserve">Ryan, G. (2017) Open Learning Champions – model for widening participation, </w:t>
      </w:r>
      <w:hyperlink r:id="rId14" w:history="1">
        <w:r w:rsidRPr="00D71E26">
          <w:rPr>
            <w:rStyle w:val="Hyperlink"/>
            <w:rFonts w:asciiTheme="majorHAnsi" w:hAnsiTheme="majorHAnsi"/>
          </w:rPr>
          <w:t>https://oepscotland.org/2017/04/03/open-learning-champions-a-model-for-widening-participation/</w:t>
        </w:r>
      </w:hyperlink>
      <w:r>
        <w:rPr>
          <w:rFonts w:asciiTheme="majorHAnsi" w:hAnsiTheme="majorHAnsi"/>
          <w:color w:val="000000"/>
        </w:rPr>
        <w:t xml:space="preserve"> </w:t>
      </w:r>
    </w:p>
    <w:p w:rsidR="00E3454B" w:rsidRDefault="00A27558" w:rsidP="00E3454B">
      <w:pPr>
        <w:spacing w:line="240" w:lineRule="auto"/>
      </w:pPr>
      <w:r>
        <w:t xml:space="preserve">Ryan, G. and Hewitt, L. (2015) </w:t>
      </w:r>
      <w:hyperlink r:id="rId15" w:history="1">
        <w:proofErr w:type="gramStart"/>
        <w:r w:rsidRPr="00A27558">
          <w:rPr>
            <w:rStyle w:val="Hyperlink"/>
            <w:i/>
          </w:rPr>
          <w:t>Developing</w:t>
        </w:r>
        <w:proofErr w:type="gramEnd"/>
        <w:r w:rsidRPr="00A27558">
          <w:rPr>
            <w:rStyle w:val="Hyperlink"/>
            <w:i/>
          </w:rPr>
          <w:t xml:space="preserve"> a flexible model of Open Learning Champions: report on findings from pilot sites in Shetland and Dumfries</w:t>
        </w:r>
      </w:hyperlink>
      <w:r>
        <w:t>. Edinburgh: The Open University.</w:t>
      </w:r>
    </w:p>
    <w:p w:rsidR="00C1001D" w:rsidRPr="00E3454B" w:rsidRDefault="00E3454B" w:rsidP="00E3454B">
      <w:pPr>
        <w:widowControl w:val="0"/>
        <w:autoSpaceDE w:val="0"/>
        <w:autoSpaceDN w:val="0"/>
        <w:adjustRightInd w:val="0"/>
        <w:spacing w:after="0" w:line="240" w:lineRule="auto"/>
        <w:rPr>
          <w:rFonts w:asciiTheme="majorHAnsi" w:hAnsiTheme="majorHAnsi" w:cs="Times New Roman"/>
          <w:szCs w:val="18"/>
          <w:lang w:val="en-US"/>
        </w:rPr>
      </w:pPr>
      <w:r w:rsidRPr="00E3454B">
        <w:rPr>
          <w:rFonts w:asciiTheme="majorHAnsi" w:hAnsiTheme="majorHAnsi" w:cs="Times New Roman"/>
          <w:szCs w:val="18"/>
          <w:lang w:val="en-US"/>
        </w:rPr>
        <w:t>Smith, M. &amp; Cook, J. (2002) Progress Report on Study of UK Online Centres. Submitted to</w:t>
      </w:r>
      <w:r>
        <w:rPr>
          <w:rFonts w:asciiTheme="majorHAnsi" w:hAnsiTheme="majorHAnsi" w:cs="Times New Roman"/>
          <w:szCs w:val="18"/>
          <w:lang w:val="en-US"/>
        </w:rPr>
        <w:t xml:space="preserve"> </w:t>
      </w:r>
      <w:r w:rsidRPr="00E3454B">
        <w:rPr>
          <w:rFonts w:asciiTheme="majorHAnsi" w:hAnsiTheme="majorHAnsi" w:cs="Times New Roman"/>
          <w:szCs w:val="18"/>
          <w:lang w:val="en-US"/>
        </w:rPr>
        <w:t>British Educational and Communications Technology Association (</w:t>
      </w:r>
      <w:proofErr w:type="spellStart"/>
      <w:r w:rsidRPr="00E3454B">
        <w:rPr>
          <w:rFonts w:asciiTheme="majorHAnsi" w:hAnsiTheme="majorHAnsi" w:cs="Times New Roman"/>
          <w:szCs w:val="18"/>
          <w:lang w:val="en-US"/>
        </w:rPr>
        <w:t>Becta</w:t>
      </w:r>
      <w:proofErr w:type="spellEnd"/>
      <w:r w:rsidRPr="00E3454B">
        <w:rPr>
          <w:rFonts w:asciiTheme="majorHAnsi" w:hAnsiTheme="majorHAnsi" w:cs="Times New Roman"/>
          <w:szCs w:val="18"/>
          <w:lang w:val="en-US"/>
        </w:rPr>
        <w:t>). Learning</w:t>
      </w:r>
      <w:r>
        <w:rPr>
          <w:rFonts w:asciiTheme="majorHAnsi" w:hAnsiTheme="majorHAnsi" w:cs="Times New Roman"/>
          <w:szCs w:val="18"/>
          <w:lang w:val="en-US"/>
        </w:rPr>
        <w:t xml:space="preserve"> </w:t>
      </w:r>
      <w:r w:rsidRPr="00E3454B">
        <w:rPr>
          <w:rFonts w:asciiTheme="majorHAnsi" w:hAnsiTheme="majorHAnsi" w:cs="Times New Roman"/>
          <w:szCs w:val="18"/>
          <w:lang w:val="en-US"/>
        </w:rPr>
        <w:t>Technology Research Institute, University of North London, March 2002.</w:t>
      </w:r>
    </w:p>
    <w:p w:rsidR="00C1001D" w:rsidRDefault="00C1001D" w:rsidP="00C1001D"/>
    <w:p w:rsidR="00C1001D" w:rsidRDefault="00C1001D" w:rsidP="00C1001D"/>
    <w:p w:rsidR="00C17432" w:rsidRDefault="00C17432" w:rsidP="00C1001D">
      <w:r>
        <w:t>Pete Cannell</w:t>
      </w:r>
    </w:p>
    <w:p w:rsidR="00E11081" w:rsidRDefault="00C17432" w:rsidP="00EF19EB">
      <w:r>
        <w:t>July 2017</w:t>
      </w:r>
    </w:p>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F19EB" w:rsidRDefault="00EF19EB" w:rsidP="00EF19EB"/>
    <w:p w:rsidR="00525A80" w:rsidRDefault="00727D35" w:rsidP="005355EF">
      <w:pPr>
        <w:ind w:left="720"/>
      </w:pPr>
      <w:r>
        <w:rPr>
          <w:noProof/>
          <w:lang w:val="en-US" w:eastAsia="en-US"/>
        </w:rPr>
        <w:pict>
          <v:shapetype id="_x0000_t202" coordsize="21600,21600" o:spt="202" path="m0,0l0,21600,21600,21600,21600,0xe">
            <v:stroke joinstyle="miter"/>
            <v:path gradientshapeok="t" o:connecttype="rect"/>
          </v:shapetype>
          <v:shape id="Text Box 12" o:spid="_x0000_s1026" type="#_x0000_t202" style="position:absolute;left:0;text-align:left;margin-left:-9pt;margin-top:6.65pt;width:490.5pt;height:101.8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" fillcolor="white [3201]" strokecolor="#62a4d3 [3213]" strokeweight="1pt">
            <v:path arrowok="t"/>
            <v:textbox>
              <w:txbxContent>
                <w:p w:rsidR="00E3454B" w:rsidRDefault="00E3454B" w:rsidP="00D245EB">
                  <w:pPr>
                    <w:pStyle w:val="Heading2"/>
                  </w:pPr>
                  <w:r>
                    <w:t>This briefing is part of a suite of OEPS briefing notes, reports and courses</w:t>
                  </w:r>
                </w:p>
                <w:p w:rsidR="00E3454B" w:rsidRDefault="00E3454B" w:rsidP="00430906">
                  <w:pPr>
                    <w:pStyle w:val="Heading2"/>
                  </w:pPr>
                  <w:r>
                    <w:t xml:space="preserve">Produced under a Creative Commons CC BY 4.0 License </w:t>
                  </w:r>
                </w:p>
                <w:p w:rsidR="00E3454B" w:rsidRPr="00430906" w:rsidRDefault="00E3454B" w:rsidP="00430906"/>
                <w:p w:rsidR="00E3454B" w:rsidRPr="005355EF" w:rsidRDefault="00E3454B" w:rsidP="005355EF"/>
              </w:txbxContent>
            </v:textbox>
          </v:shape>
        </w:pict>
      </w:r>
    </w:p>
    <w:sectPr w:rsidR="00525A80" w:rsidSect="00E11081">
      <w:footerReference w:type="even" r:id="rId16"/>
      <w:footerReference w:type="default" r:id="rId17"/>
      <w:pgSz w:w="11900" w:h="16840"/>
      <w:pgMar w:top="1134" w:right="1134" w:bottom="1440" w:left="1134" w:header="709" w:footer="709"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4B" w:rsidRDefault="00E3454B" w:rsidP="004712D0">
      <w:r>
        <w:separator/>
      </w:r>
    </w:p>
  </w:endnote>
  <w:endnote w:type="continuationSeparator" w:id="0">
    <w:p w:rsidR="00E3454B" w:rsidRDefault="00E3454B" w:rsidP="004712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B" w:rsidRDefault="00E3454B" w:rsidP="007D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54B" w:rsidRDefault="00E3454B" w:rsidP="005C0C8F">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4B" w:rsidRDefault="00E3454B" w:rsidP="007D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35C">
      <w:rPr>
        <w:rStyle w:val="PageNumber"/>
        <w:noProof/>
      </w:rPr>
      <w:t>3</w:t>
    </w:r>
    <w:r>
      <w:rPr>
        <w:rStyle w:val="PageNumber"/>
      </w:rPr>
      <w:fldChar w:fldCharType="end"/>
    </w:r>
  </w:p>
  <w:p w:rsidR="00E3454B" w:rsidRDefault="00E3454B" w:rsidP="007D7348">
    <w:pPr>
      <w:pStyle w:val="Footer"/>
      <w:ind w:right="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4B" w:rsidRDefault="00E3454B" w:rsidP="004712D0">
      <w:r>
        <w:separator/>
      </w:r>
    </w:p>
  </w:footnote>
  <w:footnote w:type="continuationSeparator" w:id="0">
    <w:p w:rsidR="00E3454B" w:rsidRDefault="00E3454B" w:rsidP="004712D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 o:bullet="t">
        <v:imagedata r:id="rId1" o:title="Green Ball"/>
      </v:shape>
    </w:pict>
  </w:numPicBullet>
  <w:abstractNum w:abstractNumId="0">
    <w:nsid w:val="0107284D"/>
    <w:multiLevelType w:val="hybridMultilevel"/>
    <w:tmpl w:val="BC325340"/>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03FAB"/>
    <w:multiLevelType w:val="hybridMultilevel"/>
    <w:tmpl w:val="6DB428AA"/>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A94693"/>
    <w:multiLevelType w:val="hybridMultilevel"/>
    <w:tmpl w:val="E33C30F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9526A5"/>
    <w:multiLevelType w:val="hybridMultilevel"/>
    <w:tmpl w:val="8E6A001A"/>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24C90"/>
    <w:multiLevelType w:val="hybridMultilevel"/>
    <w:tmpl w:val="D674CC2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73161"/>
    <w:multiLevelType w:val="hybridMultilevel"/>
    <w:tmpl w:val="14241124"/>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D0C09"/>
    <w:multiLevelType w:val="hybridMultilevel"/>
    <w:tmpl w:val="F3D0271A"/>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A4F02"/>
    <w:multiLevelType w:val="hybridMultilevel"/>
    <w:tmpl w:val="9A1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8392C"/>
    <w:multiLevelType w:val="hybridMultilevel"/>
    <w:tmpl w:val="2218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680699"/>
    <w:multiLevelType w:val="hybridMultilevel"/>
    <w:tmpl w:val="86B6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3469E"/>
    <w:multiLevelType w:val="hybridMultilevel"/>
    <w:tmpl w:val="A11ACF66"/>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2A4933"/>
    <w:multiLevelType w:val="hybridMultilevel"/>
    <w:tmpl w:val="ECBA38BA"/>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EF1D93"/>
    <w:multiLevelType w:val="hybridMultilevel"/>
    <w:tmpl w:val="B0E4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133410"/>
    <w:multiLevelType w:val="multilevel"/>
    <w:tmpl w:val="22F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2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6"/>
  </w:num>
  <w:num w:numId="15">
    <w:abstractNumId w:val="1"/>
  </w:num>
  <w:num w:numId="16">
    <w:abstractNumId w:val="18"/>
  </w:num>
  <w:num w:numId="17">
    <w:abstractNumId w:val="10"/>
  </w:num>
  <w:num w:numId="18">
    <w:abstractNumId w:val="2"/>
  </w:num>
  <w:num w:numId="19">
    <w:abstractNumId w:val="5"/>
  </w:num>
  <w:num w:numId="20">
    <w:abstractNumId w:val="9"/>
  </w:num>
  <w:num w:numId="21">
    <w:abstractNumId w:val="14"/>
  </w:num>
  <w:num w:numId="22">
    <w:abstractNumId w:val="13"/>
  </w:num>
  <w:num w:numId="23">
    <w:abstractNumId w:val="19"/>
  </w:num>
  <w:num w:numId="24">
    <w:abstractNumId w:val="7"/>
  </w:num>
  <w:num w:numId="25">
    <w:abstractNumId w:val="17"/>
  </w:num>
  <w:num w:numId="26">
    <w:abstractNumId w:val="15"/>
  </w:num>
  <w:num w:numId="27">
    <w:abstractNumId w:val="12"/>
  </w:num>
  <w:num w:numId="28">
    <w:abstractNumId w:val="21"/>
  </w:num>
  <w:num w:numId="29">
    <w:abstractNumId w:val="3"/>
  </w:num>
  <w:num w:numId="30">
    <w:abstractNumId w:val="11"/>
  </w:num>
  <w:num w:numId="31">
    <w:abstractNumId w:val="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421EE"/>
    <w:rsid w:val="00004744"/>
    <w:rsid w:val="000071A4"/>
    <w:rsid w:val="000105CF"/>
    <w:rsid w:val="00034D08"/>
    <w:rsid w:val="00041065"/>
    <w:rsid w:val="0006462F"/>
    <w:rsid w:val="00076E03"/>
    <w:rsid w:val="00091768"/>
    <w:rsid w:val="00092138"/>
    <w:rsid w:val="000965DB"/>
    <w:rsid w:val="000A57A1"/>
    <w:rsid w:val="000A59E6"/>
    <w:rsid w:val="000B413F"/>
    <w:rsid w:val="000D2385"/>
    <w:rsid w:val="000D6821"/>
    <w:rsid w:val="000D6BEA"/>
    <w:rsid w:val="000E435C"/>
    <w:rsid w:val="000E4589"/>
    <w:rsid w:val="000F10CB"/>
    <w:rsid w:val="000F15FD"/>
    <w:rsid w:val="000F7E41"/>
    <w:rsid w:val="001019CD"/>
    <w:rsid w:val="001077E9"/>
    <w:rsid w:val="00121357"/>
    <w:rsid w:val="00126998"/>
    <w:rsid w:val="00127960"/>
    <w:rsid w:val="001408DF"/>
    <w:rsid w:val="00153FD0"/>
    <w:rsid w:val="00156113"/>
    <w:rsid w:val="0015748A"/>
    <w:rsid w:val="0018446E"/>
    <w:rsid w:val="00195539"/>
    <w:rsid w:val="001C0888"/>
    <w:rsid w:val="001C1721"/>
    <w:rsid w:val="001C428D"/>
    <w:rsid w:val="001C6EA7"/>
    <w:rsid w:val="001E083A"/>
    <w:rsid w:val="001E5803"/>
    <w:rsid w:val="001F0BDF"/>
    <w:rsid w:val="002013DF"/>
    <w:rsid w:val="00207D66"/>
    <w:rsid w:val="00211AEE"/>
    <w:rsid w:val="002122A9"/>
    <w:rsid w:val="002127FC"/>
    <w:rsid w:val="00212FAE"/>
    <w:rsid w:val="00224C9B"/>
    <w:rsid w:val="0023169B"/>
    <w:rsid w:val="00247166"/>
    <w:rsid w:val="00260D91"/>
    <w:rsid w:val="00267B60"/>
    <w:rsid w:val="002727ED"/>
    <w:rsid w:val="002766ED"/>
    <w:rsid w:val="002778AD"/>
    <w:rsid w:val="0028414F"/>
    <w:rsid w:val="00295168"/>
    <w:rsid w:val="0029544E"/>
    <w:rsid w:val="002B3A25"/>
    <w:rsid w:val="002B5D14"/>
    <w:rsid w:val="002B7B9F"/>
    <w:rsid w:val="002B7C4C"/>
    <w:rsid w:val="002C6582"/>
    <w:rsid w:val="002C7FA4"/>
    <w:rsid w:val="00321403"/>
    <w:rsid w:val="00323B53"/>
    <w:rsid w:val="003321D8"/>
    <w:rsid w:val="003469D8"/>
    <w:rsid w:val="0035033F"/>
    <w:rsid w:val="0036098C"/>
    <w:rsid w:val="00364722"/>
    <w:rsid w:val="00371E11"/>
    <w:rsid w:val="00391253"/>
    <w:rsid w:val="00393536"/>
    <w:rsid w:val="003B68D9"/>
    <w:rsid w:val="003C0046"/>
    <w:rsid w:val="003C03D5"/>
    <w:rsid w:val="003E0748"/>
    <w:rsid w:val="003E2FCE"/>
    <w:rsid w:val="003E5A51"/>
    <w:rsid w:val="003F1A83"/>
    <w:rsid w:val="003F32FB"/>
    <w:rsid w:val="003F63D6"/>
    <w:rsid w:val="004157F7"/>
    <w:rsid w:val="00425DE5"/>
    <w:rsid w:val="00430906"/>
    <w:rsid w:val="004421EE"/>
    <w:rsid w:val="004434CC"/>
    <w:rsid w:val="004566F8"/>
    <w:rsid w:val="00470705"/>
    <w:rsid w:val="00470784"/>
    <w:rsid w:val="004712D0"/>
    <w:rsid w:val="004767EE"/>
    <w:rsid w:val="00485A6B"/>
    <w:rsid w:val="004864DA"/>
    <w:rsid w:val="004936EB"/>
    <w:rsid w:val="0049747A"/>
    <w:rsid w:val="004A4A37"/>
    <w:rsid w:val="004A7D19"/>
    <w:rsid w:val="004B58B8"/>
    <w:rsid w:val="004C2348"/>
    <w:rsid w:val="004E5671"/>
    <w:rsid w:val="004F0224"/>
    <w:rsid w:val="004F7C1C"/>
    <w:rsid w:val="00512A2A"/>
    <w:rsid w:val="0051671D"/>
    <w:rsid w:val="0052033C"/>
    <w:rsid w:val="00525A80"/>
    <w:rsid w:val="0053531D"/>
    <w:rsid w:val="005355EF"/>
    <w:rsid w:val="00535BB6"/>
    <w:rsid w:val="005422F7"/>
    <w:rsid w:val="00550270"/>
    <w:rsid w:val="00552786"/>
    <w:rsid w:val="00557CB9"/>
    <w:rsid w:val="00573418"/>
    <w:rsid w:val="00575E7D"/>
    <w:rsid w:val="005760C0"/>
    <w:rsid w:val="00584774"/>
    <w:rsid w:val="00584F7A"/>
    <w:rsid w:val="005859CA"/>
    <w:rsid w:val="00593C4F"/>
    <w:rsid w:val="005B7595"/>
    <w:rsid w:val="005C0C8F"/>
    <w:rsid w:val="005C11CC"/>
    <w:rsid w:val="005D1F01"/>
    <w:rsid w:val="005D1F9A"/>
    <w:rsid w:val="005D3B08"/>
    <w:rsid w:val="005E0E20"/>
    <w:rsid w:val="005E1AB4"/>
    <w:rsid w:val="005E4D71"/>
    <w:rsid w:val="00600023"/>
    <w:rsid w:val="00616A90"/>
    <w:rsid w:val="006236E3"/>
    <w:rsid w:val="00625639"/>
    <w:rsid w:val="00627D61"/>
    <w:rsid w:val="00630C0C"/>
    <w:rsid w:val="00631847"/>
    <w:rsid w:val="0065289A"/>
    <w:rsid w:val="006847FD"/>
    <w:rsid w:val="00685BB4"/>
    <w:rsid w:val="00687449"/>
    <w:rsid w:val="006903AE"/>
    <w:rsid w:val="00691729"/>
    <w:rsid w:val="00692A4A"/>
    <w:rsid w:val="00696C3E"/>
    <w:rsid w:val="006A2A30"/>
    <w:rsid w:val="006B0DC8"/>
    <w:rsid w:val="006B7A0B"/>
    <w:rsid w:val="006C7AEF"/>
    <w:rsid w:val="006D3D88"/>
    <w:rsid w:val="006E20B5"/>
    <w:rsid w:val="006E693A"/>
    <w:rsid w:val="006E6ED9"/>
    <w:rsid w:val="006F0B2A"/>
    <w:rsid w:val="006F4331"/>
    <w:rsid w:val="007036F7"/>
    <w:rsid w:val="00712C5C"/>
    <w:rsid w:val="00716146"/>
    <w:rsid w:val="00721643"/>
    <w:rsid w:val="00722052"/>
    <w:rsid w:val="00723021"/>
    <w:rsid w:val="00727D35"/>
    <w:rsid w:val="0074008F"/>
    <w:rsid w:val="00756D93"/>
    <w:rsid w:val="00765170"/>
    <w:rsid w:val="007771A3"/>
    <w:rsid w:val="007774F0"/>
    <w:rsid w:val="00783FB5"/>
    <w:rsid w:val="007A18B4"/>
    <w:rsid w:val="007D0881"/>
    <w:rsid w:val="007D61BF"/>
    <w:rsid w:val="007D7348"/>
    <w:rsid w:val="007F2178"/>
    <w:rsid w:val="007F5A7C"/>
    <w:rsid w:val="00800C3E"/>
    <w:rsid w:val="00800DE7"/>
    <w:rsid w:val="00803BF1"/>
    <w:rsid w:val="008345F5"/>
    <w:rsid w:val="00843DD0"/>
    <w:rsid w:val="00852DA5"/>
    <w:rsid w:val="0085790E"/>
    <w:rsid w:val="0087030D"/>
    <w:rsid w:val="008730B8"/>
    <w:rsid w:val="0088092B"/>
    <w:rsid w:val="0088760A"/>
    <w:rsid w:val="0089156B"/>
    <w:rsid w:val="008A310D"/>
    <w:rsid w:val="008C56A3"/>
    <w:rsid w:val="008D2FEB"/>
    <w:rsid w:val="008D57A8"/>
    <w:rsid w:val="008E3F01"/>
    <w:rsid w:val="008F0123"/>
    <w:rsid w:val="008F09A6"/>
    <w:rsid w:val="008F245A"/>
    <w:rsid w:val="008F2CC1"/>
    <w:rsid w:val="00904857"/>
    <w:rsid w:val="00914DAB"/>
    <w:rsid w:val="0093315F"/>
    <w:rsid w:val="00935522"/>
    <w:rsid w:val="009470EB"/>
    <w:rsid w:val="00950537"/>
    <w:rsid w:val="00953DCA"/>
    <w:rsid w:val="00970253"/>
    <w:rsid w:val="00976251"/>
    <w:rsid w:val="00996CDE"/>
    <w:rsid w:val="009B5DFD"/>
    <w:rsid w:val="009D20D5"/>
    <w:rsid w:val="009E2880"/>
    <w:rsid w:val="009F451E"/>
    <w:rsid w:val="00A16AE2"/>
    <w:rsid w:val="00A2482A"/>
    <w:rsid w:val="00A25AFF"/>
    <w:rsid w:val="00A27558"/>
    <w:rsid w:val="00A416B1"/>
    <w:rsid w:val="00A46656"/>
    <w:rsid w:val="00A50FC9"/>
    <w:rsid w:val="00A645C8"/>
    <w:rsid w:val="00A71BF6"/>
    <w:rsid w:val="00A81099"/>
    <w:rsid w:val="00A85A38"/>
    <w:rsid w:val="00A867F4"/>
    <w:rsid w:val="00A8716E"/>
    <w:rsid w:val="00AA46B7"/>
    <w:rsid w:val="00AA4AA3"/>
    <w:rsid w:val="00AA50DC"/>
    <w:rsid w:val="00AB0F2B"/>
    <w:rsid w:val="00AB3F26"/>
    <w:rsid w:val="00AB476F"/>
    <w:rsid w:val="00AC33A1"/>
    <w:rsid w:val="00AC3E34"/>
    <w:rsid w:val="00AC57BE"/>
    <w:rsid w:val="00AC78D2"/>
    <w:rsid w:val="00AD096D"/>
    <w:rsid w:val="00AE0DA0"/>
    <w:rsid w:val="00AE4CA3"/>
    <w:rsid w:val="00AE4FB9"/>
    <w:rsid w:val="00AE7453"/>
    <w:rsid w:val="00B03EE8"/>
    <w:rsid w:val="00B07272"/>
    <w:rsid w:val="00B166A3"/>
    <w:rsid w:val="00B24974"/>
    <w:rsid w:val="00B319B5"/>
    <w:rsid w:val="00B458A1"/>
    <w:rsid w:val="00B532ED"/>
    <w:rsid w:val="00B60755"/>
    <w:rsid w:val="00B665E6"/>
    <w:rsid w:val="00B67AFD"/>
    <w:rsid w:val="00B67D97"/>
    <w:rsid w:val="00B83A53"/>
    <w:rsid w:val="00B871B7"/>
    <w:rsid w:val="00B9442A"/>
    <w:rsid w:val="00BA206B"/>
    <w:rsid w:val="00BA250E"/>
    <w:rsid w:val="00BA5CD8"/>
    <w:rsid w:val="00BF78C6"/>
    <w:rsid w:val="00C02A10"/>
    <w:rsid w:val="00C04960"/>
    <w:rsid w:val="00C0730D"/>
    <w:rsid w:val="00C1001D"/>
    <w:rsid w:val="00C15802"/>
    <w:rsid w:val="00C17432"/>
    <w:rsid w:val="00C2285F"/>
    <w:rsid w:val="00C4380D"/>
    <w:rsid w:val="00C50B99"/>
    <w:rsid w:val="00C5300A"/>
    <w:rsid w:val="00C6153A"/>
    <w:rsid w:val="00C6665F"/>
    <w:rsid w:val="00C869F0"/>
    <w:rsid w:val="00C95B8A"/>
    <w:rsid w:val="00C96B21"/>
    <w:rsid w:val="00CA0675"/>
    <w:rsid w:val="00CA0B60"/>
    <w:rsid w:val="00CA557C"/>
    <w:rsid w:val="00CC744C"/>
    <w:rsid w:val="00CD4B93"/>
    <w:rsid w:val="00CD6D0E"/>
    <w:rsid w:val="00CE0728"/>
    <w:rsid w:val="00CF260C"/>
    <w:rsid w:val="00D2366F"/>
    <w:rsid w:val="00D245EB"/>
    <w:rsid w:val="00D37CD8"/>
    <w:rsid w:val="00D40E57"/>
    <w:rsid w:val="00D42BF2"/>
    <w:rsid w:val="00D45B67"/>
    <w:rsid w:val="00D507FA"/>
    <w:rsid w:val="00D54B64"/>
    <w:rsid w:val="00D65812"/>
    <w:rsid w:val="00DA679B"/>
    <w:rsid w:val="00DB15F2"/>
    <w:rsid w:val="00DB3AFF"/>
    <w:rsid w:val="00DD7757"/>
    <w:rsid w:val="00DE3A42"/>
    <w:rsid w:val="00DF003C"/>
    <w:rsid w:val="00E11081"/>
    <w:rsid w:val="00E20088"/>
    <w:rsid w:val="00E30C95"/>
    <w:rsid w:val="00E3454B"/>
    <w:rsid w:val="00E35865"/>
    <w:rsid w:val="00E376E6"/>
    <w:rsid w:val="00E4362F"/>
    <w:rsid w:val="00E4411F"/>
    <w:rsid w:val="00E70464"/>
    <w:rsid w:val="00E75675"/>
    <w:rsid w:val="00E977F3"/>
    <w:rsid w:val="00EA0FAE"/>
    <w:rsid w:val="00EB3D27"/>
    <w:rsid w:val="00EB57E8"/>
    <w:rsid w:val="00ED11BF"/>
    <w:rsid w:val="00ED787A"/>
    <w:rsid w:val="00EE0119"/>
    <w:rsid w:val="00EE30C0"/>
    <w:rsid w:val="00EF19EB"/>
    <w:rsid w:val="00F2613D"/>
    <w:rsid w:val="00F31E9B"/>
    <w:rsid w:val="00F32A26"/>
    <w:rsid w:val="00F505CF"/>
    <w:rsid w:val="00F5097D"/>
    <w:rsid w:val="00F52579"/>
    <w:rsid w:val="00F77BAE"/>
    <w:rsid w:val="00F83308"/>
    <w:rsid w:val="00FA1035"/>
    <w:rsid w:val="00FA7489"/>
    <w:rsid w:val="00FB6547"/>
    <w:rsid w:val="00FC714B"/>
    <w:rsid w:val="00FD15FD"/>
    <w:rsid w:val="00FE6A69"/>
    <w:rsid w:val="00FF0A7D"/>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F31E9B"/>
  </w:style>
  <w:style w:type="character" w:customStyle="1" w:styleId="ArticleTitle">
    <w:name w:val="Article Title"/>
    <w:basedOn w:val="DefaultParagraphFont"/>
    <w:uiPriority w:val="1"/>
    <w:rsid w:val="00A27558"/>
    <w:rPr>
      <w:rFonts w:ascii="Arial" w:hAnsi="Arial"/>
      <w:b/>
      <w:color w:val="auto"/>
      <w:sz w:val="34"/>
    </w:rPr>
  </w:style>
  <w:style w:type="paragraph" w:customStyle="1" w:styleId="Articletitle0">
    <w:name w:val="Article title"/>
    <w:rsid w:val="00A27558"/>
    <w:pPr>
      <w:spacing w:after="240" w:line="240" w:lineRule="auto"/>
    </w:pPr>
    <w:rPr>
      <w:rFonts w:ascii="Arial" w:eastAsia="Times New Roman" w:hAnsi="Arial" w:cs="Times New Roman"/>
      <w:sz w:val="34"/>
      <w:szCs w:val="24"/>
      <w:lang w:eastAsia="en-GB"/>
    </w:rPr>
  </w:style>
</w:styles>
</file>

<file path=word/webSettings.xml><?xml version="1.0" encoding="utf-8"?>
<w:webSettings xmlns:r="http://schemas.openxmlformats.org/officeDocument/2006/relationships" xmlns:w="http://schemas.openxmlformats.org/wordprocessingml/2006/main">
  <w:divs>
    <w:div w:id="74517726">
      <w:bodyDiv w:val="1"/>
      <w:marLeft w:val="0"/>
      <w:marRight w:val="0"/>
      <w:marTop w:val="0"/>
      <w:marBottom w:val="0"/>
      <w:divBdr>
        <w:top w:val="none" w:sz="0" w:space="0" w:color="auto"/>
        <w:left w:val="none" w:sz="0" w:space="0" w:color="auto"/>
        <w:bottom w:val="none" w:sz="0" w:space="0" w:color="auto"/>
        <w:right w:val="none" w:sz="0" w:space="0" w:color="auto"/>
      </w:divBdr>
    </w:div>
    <w:div w:id="314724120">
      <w:bodyDiv w:val="1"/>
      <w:marLeft w:val="0"/>
      <w:marRight w:val="0"/>
      <w:marTop w:val="0"/>
      <w:marBottom w:val="0"/>
      <w:divBdr>
        <w:top w:val="none" w:sz="0" w:space="0" w:color="auto"/>
        <w:left w:val="none" w:sz="0" w:space="0" w:color="auto"/>
        <w:bottom w:val="none" w:sz="0" w:space="0" w:color="auto"/>
        <w:right w:val="none" w:sz="0" w:space="0" w:color="auto"/>
      </w:divBdr>
    </w:div>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408887699">
      <w:bodyDiv w:val="1"/>
      <w:marLeft w:val="0"/>
      <w:marRight w:val="0"/>
      <w:marTop w:val="0"/>
      <w:marBottom w:val="0"/>
      <w:divBdr>
        <w:top w:val="none" w:sz="0" w:space="0" w:color="auto"/>
        <w:left w:val="none" w:sz="0" w:space="0" w:color="auto"/>
        <w:bottom w:val="none" w:sz="0" w:space="0" w:color="auto"/>
        <w:right w:val="none" w:sz="0" w:space="0" w:color="auto"/>
      </w:divBdr>
    </w:div>
    <w:div w:id="427889232">
      <w:bodyDiv w:val="1"/>
      <w:marLeft w:val="0"/>
      <w:marRight w:val="0"/>
      <w:marTop w:val="0"/>
      <w:marBottom w:val="0"/>
      <w:divBdr>
        <w:top w:val="none" w:sz="0" w:space="0" w:color="auto"/>
        <w:left w:val="none" w:sz="0" w:space="0" w:color="auto"/>
        <w:bottom w:val="none" w:sz="0" w:space="0" w:color="auto"/>
        <w:right w:val="none" w:sz="0" w:space="0" w:color="auto"/>
      </w:divBdr>
    </w:div>
    <w:div w:id="440690696">
      <w:bodyDiv w:val="1"/>
      <w:marLeft w:val="0"/>
      <w:marRight w:val="0"/>
      <w:marTop w:val="0"/>
      <w:marBottom w:val="0"/>
      <w:divBdr>
        <w:top w:val="none" w:sz="0" w:space="0" w:color="auto"/>
        <w:left w:val="none" w:sz="0" w:space="0" w:color="auto"/>
        <w:bottom w:val="none" w:sz="0" w:space="0" w:color="auto"/>
        <w:right w:val="none" w:sz="0" w:space="0" w:color="auto"/>
      </w:divBdr>
    </w:div>
    <w:div w:id="602229632">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6054">
      <w:bodyDiv w:val="1"/>
      <w:marLeft w:val="0"/>
      <w:marRight w:val="0"/>
      <w:marTop w:val="0"/>
      <w:marBottom w:val="0"/>
      <w:divBdr>
        <w:top w:val="none" w:sz="0" w:space="0" w:color="auto"/>
        <w:left w:val="none" w:sz="0" w:space="0" w:color="auto"/>
        <w:bottom w:val="none" w:sz="0" w:space="0" w:color="auto"/>
        <w:right w:val="none" w:sz="0" w:space="0" w:color="auto"/>
      </w:divBdr>
    </w:div>
    <w:div w:id="1124352834">
      <w:bodyDiv w:val="1"/>
      <w:marLeft w:val="0"/>
      <w:marRight w:val="0"/>
      <w:marTop w:val="0"/>
      <w:marBottom w:val="0"/>
      <w:divBdr>
        <w:top w:val="none" w:sz="0" w:space="0" w:color="auto"/>
        <w:left w:val="none" w:sz="0" w:space="0" w:color="auto"/>
        <w:bottom w:val="none" w:sz="0" w:space="0" w:color="auto"/>
        <w:right w:val="none" w:sz="0" w:space="0" w:color="auto"/>
      </w:divBdr>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189418398">
      <w:bodyDiv w:val="1"/>
      <w:marLeft w:val="0"/>
      <w:marRight w:val="0"/>
      <w:marTop w:val="0"/>
      <w:marBottom w:val="0"/>
      <w:divBdr>
        <w:top w:val="none" w:sz="0" w:space="0" w:color="auto"/>
        <w:left w:val="none" w:sz="0" w:space="0" w:color="auto"/>
        <w:bottom w:val="none" w:sz="0" w:space="0" w:color="auto"/>
        <w:right w:val="none" w:sz="0" w:space="0" w:color="auto"/>
      </w:divBdr>
    </w:div>
    <w:div w:id="1345475952">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 w:id="1480683433">
      <w:bodyDiv w:val="1"/>
      <w:marLeft w:val="0"/>
      <w:marRight w:val="0"/>
      <w:marTop w:val="0"/>
      <w:marBottom w:val="0"/>
      <w:divBdr>
        <w:top w:val="none" w:sz="0" w:space="0" w:color="auto"/>
        <w:left w:val="none" w:sz="0" w:space="0" w:color="auto"/>
        <w:bottom w:val="none" w:sz="0" w:space="0" w:color="auto"/>
        <w:right w:val="none" w:sz="0" w:space="0" w:color="auto"/>
      </w:divBdr>
    </w:div>
    <w:div w:id="1624845510">
      <w:bodyDiv w:val="1"/>
      <w:marLeft w:val="0"/>
      <w:marRight w:val="0"/>
      <w:marTop w:val="0"/>
      <w:marBottom w:val="0"/>
      <w:divBdr>
        <w:top w:val="none" w:sz="0" w:space="0" w:color="auto"/>
        <w:left w:val="none" w:sz="0" w:space="0" w:color="auto"/>
        <w:bottom w:val="none" w:sz="0" w:space="0" w:color="auto"/>
        <w:right w:val="none" w:sz="0" w:space="0" w:color="auto"/>
      </w:divBdr>
    </w:div>
    <w:div w:id="1661688529">
      <w:bodyDiv w:val="1"/>
      <w:marLeft w:val="0"/>
      <w:marRight w:val="0"/>
      <w:marTop w:val="0"/>
      <w:marBottom w:val="0"/>
      <w:divBdr>
        <w:top w:val="none" w:sz="0" w:space="0" w:color="auto"/>
        <w:left w:val="none" w:sz="0" w:space="0" w:color="auto"/>
        <w:bottom w:val="none" w:sz="0" w:space="0" w:color="auto"/>
        <w:right w:val="none" w:sz="0" w:space="0" w:color="auto"/>
      </w:divBdr>
    </w:div>
    <w:div w:id="2069262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edu/openlearncreate/oeps" TargetMode="External"/><Relationship Id="rId20" Type="http://schemas.openxmlformats.org/officeDocument/2006/relationships/theme" Target="theme/theme1.xml"/><Relationship Id="rId10" Type="http://schemas.openxmlformats.org/officeDocument/2006/relationships/hyperlink" Target="http://www.open.ac.uk/wales/our-work/community/openlearn-champions" TargetMode="External"/><Relationship Id="rId11" Type="http://schemas.openxmlformats.org/officeDocument/2006/relationships/hyperlink" Target="http://www.open.ac.uk/scotland/our-work/open-learning-champions" TargetMode="External"/><Relationship Id="rId12" Type="http://schemas.openxmlformats.org/officeDocument/2006/relationships/hyperlink" Target="http://www.open.edu/openlearncreate/curse/view.php?id=2692" TargetMode="External"/><Relationship Id="rId13" Type="http://schemas.openxmlformats.org/officeDocument/2006/relationships/hyperlink" Target="http://www.open.edu/openlearncreate/oeps" TargetMode="External"/><Relationship Id="rId14" Type="http://schemas.openxmlformats.org/officeDocument/2006/relationships/hyperlink" Target="https://oepscotland.org/2017/04/03/open-learning-champions-a-model-for-widening-participation/" TargetMode="External"/><Relationship Id="rId15" Type="http://schemas.openxmlformats.org/officeDocument/2006/relationships/hyperlink" Target="http://tinyurl.com/ycac35sp"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yperlink" Target="http://www.oepscotlan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3668261C6E144D859EAD9001433192"/>
        <w:category>
          <w:name w:val="General"/>
          <w:gallery w:val="placeholder"/>
        </w:category>
        <w:types>
          <w:type w:val="bbPlcHdr"/>
        </w:types>
        <w:behaviors>
          <w:behavior w:val="content"/>
        </w:behaviors>
        <w:guid w:val="{53C7FCCE-7581-A24E-A49F-3FF90BBDB847}"/>
      </w:docPartPr>
      <w:docPartBody>
        <w:p w:rsidR="003B3BDB" w:rsidRDefault="003B3BDB" w:rsidP="003B3BDB">
          <w:pPr>
            <w:pStyle w:val="B03668261C6E144D859EAD9001433192"/>
          </w:pPr>
          <w:r w:rsidRPr="001B652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3B3BDB"/>
    <w:rsid w:val="003B3BDB"/>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3B3BDB"/>
    <w:rPr>
      <w:color w:val="808080"/>
    </w:rPr>
  </w:style>
  <w:style w:type="paragraph" w:customStyle="1" w:styleId="B03668261C6E144D859EAD9001433192">
    <w:name w:val="B03668261C6E144D859EAD9001433192"/>
    <w:rsid w:val="003B3BDB"/>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727</Words>
  <Characters>4147</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subject/>
  <dc:creator>Pete Cannell</dc:creator>
  <cp:keywords/>
  <cp:lastModifiedBy>Pete Cannell</cp:lastModifiedBy>
  <cp:revision>2</cp:revision>
  <cp:lastPrinted>2017-06-22T15:12:00Z</cp:lastPrinted>
  <dcterms:created xsi:type="dcterms:W3CDTF">2017-07-24T10:31:00Z</dcterms:created>
  <dcterms:modified xsi:type="dcterms:W3CDTF">2017-07-24T12:32:00Z</dcterms:modified>
</cp:coreProperties>
</file>