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969" w:val="left" w:leader="none"/>
        </w:tabs>
        <w:spacing w:line="240" w:lineRule="auto"/>
        <w:ind w:left="116" w:right="0" w:firstLine="0"/>
        <w:rPr>
          <w:rFonts w:ascii="Times New Roman"/>
          <w:sz w:val="20"/>
        </w:rPr>
      </w:pPr>
      <w:r>
        <w:rPr>
          <w:rFonts w:ascii="Times New Roman"/>
          <w:sz w:val="20"/>
        </w:rPr>
        <w:drawing>
          <wp:inline distT="0" distB="0" distL="0" distR="0">
            <wp:extent cx="1066556" cy="55549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66556" cy="555498"/>
                    </a:xfrm>
                    <a:prstGeom prst="rect">
                      <a:avLst/>
                    </a:prstGeom>
                  </pic:spPr>
                </pic:pic>
              </a:graphicData>
            </a:graphic>
          </wp:inline>
        </w:drawing>
      </w:r>
      <w:r>
        <w:rPr>
          <w:rFonts w:ascii="Times New Roman"/>
          <w:sz w:val="20"/>
        </w:rPr>
      </w:r>
      <w:r>
        <w:rPr>
          <w:rFonts w:ascii="Times New Roman"/>
          <w:sz w:val="20"/>
        </w:rPr>
        <w:tab/>
      </w:r>
      <w:r>
        <w:rPr>
          <w:rFonts w:ascii="Times New Roman"/>
          <w:position w:val="14"/>
          <w:sz w:val="20"/>
        </w:rPr>
        <w:drawing>
          <wp:inline distT="0" distB="0" distL="0" distR="0">
            <wp:extent cx="695147" cy="47605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95147" cy="476059"/>
                    </a:xfrm>
                    <a:prstGeom prst="rect">
                      <a:avLst/>
                    </a:prstGeom>
                  </pic:spPr>
                </pic:pic>
              </a:graphicData>
            </a:graphic>
          </wp:inline>
        </w:drawing>
      </w:r>
      <w:r>
        <w:rPr>
          <w:rFonts w:ascii="Times New Roman"/>
          <w:position w:val="14"/>
          <w:sz w:val="20"/>
        </w:rPr>
      </w:r>
    </w:p>
    <w:p>
      <w:pPr>
        <w:spacing w:before="90"/>
        <w:ind w:left="113" w:right="950" w:firstLine="0"/>
        <w:jc w:val="left"/>
        <w:rPr>
          <w:b/>
          <w:sz w:val="32"/>
        </w:rPr>
      </w:pPr>
      <w:bookmarkStart w:name="Key Resource: Using explaining and demon" w:id="1"/>
      <w:bookmarkEnd w:id="1"/>
      <w:r>
        <w:rPr/>
      </w:r>
      <w:r>
        <w:rPr>
          <w:b/>
          <w:color w:val="A83625"/>
          <w:sz w:val="32"/>
        </w:rPr>
        <w:t>Key Resource: Using explaining and demonstrating to assist learning</w:t>
      </w:r>
    </w:p>
    <w:p>
      <w:pPr>
        <w:pStyle w:val="Heading1"/>
        <w:spacing w:before="281"/>
      </w:pPr>
      <w:r>
        <w:rPr>
          <w:color w:val="A83625"/>
        </w:rPr>
        <w:t>Introduction</w:t>
      </w:r>
    </w:p>
    <w:p>
      <w:pPr>
        <w:pStyle w:val="BodyText"/>
        <w:spacing w:before="280"/>
        <w:ind w:left="113" w:right="164"/>
      </w:pPr>
      <w:r>
        <w:rPr/>
        <w:t>Explaining is the giving of understanding to another. Demonstrations are ways of assisting the explanation process by using artefacts or other methods to show pupils something so that they understand it better.</w:t>
      </w:r>
    </w:p>
    <w:p>
      <w:pPr>
        <w:pStyle w:val="BodyText"/>
        <w:spacing w:before="4"/>
      </w:pPr>
    </w:p>
    <w:p>
      <w:pPr>
        <w:pStyle w:val="Heading1"/>
      </w:pPr>
      <w:r>
        <w:rPr>
          <w:color w:val="A83625"/>
        </w:rPr>
        <w:t>Explaining</w:t>
      </w:r>
    </w:p>
    <w:p>
      <w:pPr>
        <w:pStyle w:val="BodyText"/>
        <w:spacing w:before="280"/>
        <w:ind w:left="113"/>
      </w:pPr>
      <w:r>
        <w:rPr/>
        <w:t>An explanation used in a lesson can help pupils to understand:</w:t>
      </w:r>
    </w:p>
    <w:p>
      <w:pPr>
        <w:pStyle w:val="BodyText"/>
        <w:spacing w:before="3"/>
      </w:pPr>
    </w:p>
    <w:p>
      <w:pPr>
        <w:pStyle w:val="ListParagraph"/>
        <w:numPr>
          <w:ilvl w:val="0"/>
          <w:numId w:val="1"/>
        </w:numPr>
        <w:tabs>
          <w:tab w:pos="833" w:val="left" w:leader="none"/>
          <w:tab w:pos="834" w:val="left" w:leader="none"/>
        </w:tabs>
        <w:spacing w:line="240" w:lineRule="auto" w:before="0" w:after="0"/>
        <w:ind w:left="893" w:right="1588" w:hanging="360"/>
        <w:jc w:val="left"/>
        <w:rPr>
          <w:sz w:val="24"/>
        </w:rPr>
      </w:pPr>
      <w:r>
        <w:rPr>
          <w:sz w:val="24"/>
        </w:rPr>
        <w:t>concepts or ideas – including those that are new or unfamiliar to pupils, for example ‘density’ or</w:t>
      </w:r>
      <w:r>
        <w:rPr>
          <w:spacing w:val="-1"/>
          <w:sz w:val="24"/>
        </w:rPr>
        <w:t> </w:t>
      </w:r>
      <w:r>
        <w:rPr>
          <w:sz w:val="24"/>
        </w:rPr>
        <w:t>‘volume’;</w:t>
      </w:r>
    </w:p>
    <w:p>
      <w:pPr>
        <w:pStyle w:val="ListParagraph"/>
        <w:numPr>
          <w:ilvl w:val="0"/>
          <w:numId w:val="1"/>
        </w:numPr>
        <w:tabs>
          <w:tab w:pos="833" w:val="left" w:leader="none"/>
          <w:tab w:pos="834" w:val="left" w:leader="none"/>
        </w:tabs>
        <w:spacing w:line="240" w:lineRule="auto" w:before="0" w:after="0"/>
        <w:ind w:left="893" w:right="830" w:hanging="360"/>
        <w:jc w:val="left"/>
        <w:rPr>
          <w:sz w:val="24"/>
        </w:rPr>
      </w:pPr>
      <w:r>
        <w:rPr>
          <w:sz w:val="24"/>
        </w:rPr>
        <w:t>cause and effect – rain is caused by air cooling, a flat battery means the car won’t start;</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processes – how things work, how people and animals</w:t>
      </w:r>
      <w:r>
        <w:rPr>
          <w:spacing w:val="-9"/>
          <w:sz w:val="24"/>
        </w:rPr>
        <w:t> </w:t>
      </w:r>
      <w:r>
        <w:rPr>
          <w:sz w:val="24"/>
        </w:rPr>
        <w:t>behave;</w:t>
      </w:r>
    </w:p>
    <w:p>
      <w:pPr>
        <w:pStyle w:val="ListParagraph"/>
        <w:numPr>
          <w:ilvl w:val="0"/>
          <w:numId w:val="1"/>
        </w:numPr>
        <w:tabs>
          <w:tab w:pos="833" w:val="left" w:leader="none"/>
          <w:tab w:pos="834" w:val="left" w:leader="none"/>
        </w:tabs>
        <w:spacing w:line="240" w:lineRule="auto" w:before="0" w:after="0"/>
        <w:ind w:left="893" w:right="1029" w:hanging="360"/>
        <w:jc w:val="left"/>
        <w:rPr>
          <w:sz w:val="24"/>
        </w:rPr>
      </w:pPr>
      <w:r>
        <w:rPr>
          <w:sz w:val="24"/>
        </w:rPr>
        <w:t>relationships – between people, things and events: the role of grandparents in a family, why flies are insects and spiders are not, the common features of important yearly</w:t>
      </w:r>
      <w:r>
        <w:rPr>
          <w:spacing w:val="-1"/>
          <w:sz w:val="24"/>
        </w:rPr>
        <w:t> </w:t>
      </w:r>
      <w:r>
        <w:rPr>
          <w:sz w:val="24"/>
        </w:rPr>
        <w:t>festivals.</w:t>
      </w:r>
    </w:p>
    <w:p>
      <w:pPr>
        <w:pStyle w:val="BodyText"/>
        <w:spacing w:before="5"/>
      </w:pPr>
    </w:p>
    <w:p>
      <w:pPr>
        <w:pStyle w:val="BodyText"/>
        <w:ind w:left="113" w:right="418"/>
      </w:pPr>
      <w:r>
        <w:rPr/>
        <w:t>To explain well, you, the teacher, have to understand the subject matter well (what is to be taught). For example, if you do not understand that a spider is not an insect, neither will your pupils.</w:t>
      </w:r>
    </w:p>
    <w:p>
      <w:pPr>
        <w:pStyle w:val="BodyText"/>
        <w:spacing w:before="3"/>
      </w:pPr>
    </w:p>
    <w:p>
      <w:pPr>
        <w:pStyle w:val="Heading1"/>
        <w:spacing w:before="1"/>
      </w:pPr>
      <w:r>
        <w:rPr>
          <w:color w:val="A83625"/>
        </w:rPr>
        <w:t>Key knowledge features about explaining</w:t>
      </w:r>
    </w:p>
    <w:p>
      <w:pPr>
        <w:pStyle w:val="BodyText"/>
        <w:spacing w:before="280"/>
        <w:ind w:left="113" w:right="97"/>
      </w:pPr>
      <w:r>
        <w:rPr/>
        <w:t>When explaining new concepts or ideas, four key features will help you structure and sequence your explanation:</w:t>
      </w:r>
    </w:p>
    <w:p>
      <w:pPr>
        <w:pStyle w:val="BodyText"/>
        <w:spacing w:before="4"/>
      </w:pPr>
    </w:p>
    <w:p>
      <w:pPr>
        <w:pStyle w:val="ListParagraph"/>
        <w:numPr>
          <w:ilvl w:val="0"/>
          <w:numId w:val="1"/>
        </w:numPr>
        <w:tabs>
          <w:tab w:pos="834" w:val="left" w:leader="none"/>
        </w:tabs>
        <w:spacing w:line="240" w:lineRule="auto" w:before="1" w:after="0"/>
        <w:ind w:left="893" w:right="1895" w:hanging="360"/>
        <w:jc w:val="both"/>
        <w:rPr>
          <w:sz w:val="24"/>
        </w:rPr>
      </w:pPr>
      <w:r>
        <w:rPr>
          <w:sz w:val="24"/>
        </w:rPr>
        <w:t>Labels and names. The actual words used to name the concept (insect, electricity, colour,</w:t>
      </w:r>
      <w:r>
        <w:rPr>
          <w:spacing w:val="1"/>
          <w:sz w:val="24"/>
        </w:rPr>
        <w:t> </w:t>
      </w:r>
      <w:r>
        <w:rPr>
          <w:sz w:val="24"/>
        </w:rPr>
        <w:t>ambition)</w:t>
      </w:r>
    </w:p>
    <w:p>
      <w:pPr>
        <w:pStyle w:val="ListParagraph"/>
        <w:numPr>
          <w:ilvl w:val="0"/>
          <w:numId w:val="1"/>
        </w:numPr>
        <w:tabs>
          <w:tab w:pos="834" w:val="left" w:leader="none"/>
        </w:tabs>
        <w:spacing w:line="240" w:lineRule="auto" w:before="0" w:after="0"/>
        <w:ind w:left="833" w:right="0" w:hanging="301"/>
        <w:jc w:val="both"/>
        <w:rPr>
          <w:sz w:val="24"/>
        </w:rPr>
      </w:pPr>
      <w:r>
        <w:rPr>
          <w:sz w:val="24"/>
        </w:rPr>
        <w:t>Attributes. There are two kinds,</w:t>
      </w:r>
      <w:r>
        <w:rPr>
          <w:spacing w:val="-1"/>
          <w:sz w:val="24"/>
        </w:rPr>
        <w:t> </w:t>
      </w:r>
      <w:r>
        <w:rPr>
          <w:sz w:val="24"/>
        </w:rPr>
        <w:t>namely:</w:t>
      </w:r>
    </w:p>
    <w:p>
      <w:pPr>
        <w:pStyle w:val="ListParagraph"/>
        <w:numPr>
          <w:ilvl w:val="1"/>
          <w:numId w:val="1"/>
        </w:numPr>
        <w:tabs>
          <w:tab w:pos="1554" w:val="left" w:leader="none"/>
        </w:tabs>
        <w:spacing w:line="240" w:lineRule="auto" w:before="0" w:after="0"/>
        <w:ind w:left="1673" w:right="1845" w:hanging="360"/>
        <w:jc w:val="both"/>
        <w:rPr>
          <w:sz w:val="24"/>
        </w:rPr>
      </w:pPr>
      <w:r>
        <w:rPr>
          <w:sz w:val="24"/>
        </w:rPr>
        <w:t>‘Must have’ features, which are essential parts of the concept like ‘wings’ (bird) ‘thorax’</w:t>
      </w:r>
      <w:r>
        <w:rPr>
          <w:spacing w:val="-3"/>
          <w:sz w:val="24"/>
        </w:rPr>
        <w:t> </w:t>
      </w:r>
      <w:r>
        <w:rPr>
          <w:sz w:val="24"/>
        </w:rPr>
        <w:t>(insect);</w:t>
      </w:r>
    </w:p>
    <w:p>
      <w:pPr>
        <w:pStyle w:val="ListParagraph"/>
        <w:numPr>
          <w:ilvl w:val="1"/>
          <w:numId w:val="1"/>
        </w:numPr>
        <w:tabs>
          <w:tab w:pos="1554" w:val="left" w:leader="none"/>
        </w:tabs>
        <w:spacing w:line="240" w:lineRule="auto" w:before="0" w:after="0"/>
        <w:ind w:left="1673" w:right="1928" w:hanging="360"/>
        <w:jc w:val="both"/>
        <w:rPr>
          <w:sz w:val="24"/>
        </w:rPr>
      </w:pPr>
      <w:r>
        <w:rPr>
          <w:sz w:val="24"/>
        </w:rPr>
        <w:t>‘May have’ features that may occur, but not always. A sparrow is brown, but not all birds are. Some insects have hard shells, but not all</w:t>
      </w:r>
      <w:r>
        <w:rPr>
          <w:spacing w:val="-3"/>
          <w:sz w:val="24"/>
        </w:rPr>
        <w:t> </w:t>
      </w:r>
      <w:r>
        <w:rPr>
          <w:sz w:val="24"/>
        </w:rPr>
        <w:t>do.</w:t>
      </w:r>
    </w:p>
    <w:p>
      <w:pPr>
        <w:pStyle w:val="ListParagraph"/>
        <w:numPr>
          <w:ilvl w:val="0"/>
          <w:numId w:val="1"/>
        </w:numPr>
        <w:tabs>
          <w:tab w:pos="833" w:val="left" w:leader="none"/>
          <w:tab w:pos="834" w:val="left" w:leader="none"/>
        </w:tabs>
        <w:spacing w:line="240" w:lineRule="auto" w:before="0" w:after="0"/>
        <w:ind w:left="893" w:right="829" w:hanging="360"/>
        <w:jc w:val="left"/>
        <w:rPr>
          <w:sz w:val="24"/>
        </w:rPr>
      </w:pPr>
      <w:r>
        <w:rPr>
          <w:sz w:val="24"/>
        </w:rPr>
        <w:t>Examples. In your explanations you will need to give examples that illustrate what you mean. For example, ants and flies are insects, but a snail, though it has antennae, is not an insect. It is a</w:t>
      </w:r>
      <w:r>
        <w:rPr>
          <w:spacing w:val="-7"/>
          <w:sz w:val="24"/>
        </w:rPr>
        <w:t> </w:t>
      </w:r>
      <w:r>
        <w:rPr>
          <w:sz w:val="24"/>
        </w:rPr>
        <w:t>mollusc.</w:t>
      </w:r>
    </w:p>
    <w:p>
      <w:pPr>
        <w:pStyle w:val="ListParagraph"/>
        <w:numPr>
          <w:ilvl w:val="0"/>
          <w:numId w:val="1"/>
        </w:numPr>
        <w:tabs>
          <w:tab w:pos="833" w:val="left" w:leader="none"/>
          <w:tab w:pos="834" w:val="left" w:leader="none"/>
        </w:tabs>
        <w:spacing w:line="240" w:lineRule="auto" w:before="0" w:after="0"/>
        <w:ind w:left="893" w:right="1029" w:hanging="360"/>
        <w:jc w:val="left"/>
        <w:rPr>
          <w:sz w:val="24"/>
        </w:rPr>
      </w:pPr>
      <w:r>
        <w:rPr>
          <w:sz w:val="24"/>
        </w:rPr>
        <w:t>Finally, you will have a set of ‘must have’ rules at the end that apply to what you are explaining. So your rules for insects would be: six legs, a head, thorax, abdomen, two antennae, and two or four</w:t>
      </w:r>
      <w:r>
        <w:rPr>
          <w:spacing w:val="-4"/>
          <w:sz w:val="24"/>
        </w:rPr>
        <w:t> </w:t>
      </w:r>
      <w:r>
        <w:rPr>
          <w:sz w:val="24"/>
        </w:rPr>
        <w:t>wings.</w:t>
      </w:r>
    </w:p>
    <w:p>
      <w:pPr>
        <w:spacing w:after="0" w:line="240" w:lineRule="auto"/>
        <w:jc w:val="left"/>
        <w:rPr>
          <w:sz w:val="24"/>
        </w:rPr>
        <w:sectPr>
          <w:footerReference w:type="default" r:id="rId5"/>
          <w:type w:val="continuous"/>
          <w:pgSz w:w="11910" w:h="16840"/>
          <w:pgMar w:footer="956" w:top="180" w:bottom="1140" w:left="760" w:right="820"/>
          <w:pgNumType w:start="1"/>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9">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9">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1">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2">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p>
      <w:pPr>
        <w:spacing w:after="0"/>
        <w:jc w:val="left"/>
        <w:rPr>
          <w:sz w:val="18"/>
        </w:rPr>
        <w:sectPr>
          <w:pgSz w:w="11930" w:h="16860"/>
          <w:pgMar w:header="0" w:footer="956" w:top="540" w:bottom="1160" w:left="740" w:right="740"/>
        </w:sectPr>
      </w:pPr>
    </w:p>
    <w:p>
      <w:pPr>
        <w:tabs>
          <w:tab w:pos="8969" w:val="left" w:leader="none"/>
        </w:tabs>
        <w:spacing w:line="240" w:lineRule="auto"/>
        <w:ind w:left="116" w:right="0" w:firstLine="0"/>
        <w:rPr>
          <w:sz w:val="20"/>
        </w:rPr>
      </w:pPr>
      <w:r>
        <w:rPr>
          <w:sz w:val="20"/>
        </w:rPr>
        <w:drawing>
          <wp:inline distT="0" distB="0" distL="0" distR="0">
            <wp:extent cx="1066556" cy="555498"/>
            <wp:effectExtent l="0" t="0" r="0" b="0"/>
            <wp:docPr id="11" name="image1.jpeg"/>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1066556" cy="555498"/>
                    </a:xfrm>
                    <a:prstGeom prst="rect">
                      <a:avLst/>
                    </a:prstGeom>
                  </pic:spPr>
                </pic:pic>
              </a:graphicData>
            </a:graphic>
          </wp:inline>
        </w:drawing>
      </w:r>
      <w:r>
        <w:rPr>
          <w:sz w:val="20"/>
        </w:rPr>
      </w:r>
      <w:r>
        <w:rPr>
          <w:sz w:val="20"/>
        </w:rPr>
        <w:tab/>
      </w:r>
      <w:r>
        <w:rPr>
          <w:position w:val="14"/>
          <w:sz w:val="20"/>
        </w:rPr>
        <w:drawing>
          <wp:inline distT="0" distB="0" distL="0" distR="0">
            <wp:extent cx="695147" cy="476059"/>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695147" cy="476059"/>
                    </a:xfrm>
                    <a:prstGeom prst="rect">
                      <a:avLst/>
                    </a:prstGeom>
                  </pic:spPr>
                </pic:pic>
              </a:graphicData>
            </a:graphic>
          </wp:inline>
        </w:drawing>
      </w:r>
      <w:r>
        <w:rPr>
          <w:position w:val="14"/>
          <w:sz w:val="20"/>
        </w:rPr>
      </w:r>
    </w:p>
    <w:p>
      <w:pPr>
        <w:pStyle w:val="BodyText"/>
        <w:rPr>
          <w:i/>
          <w:sz w:val="21"/>
        </w:rPr>
      </w:pPr>
    </w:p>
    <w:p>
      <w:pPr>
        <w:pStyle w:val="Heading1"/>
        <w:spacing w:before="91"/>
      </w:pPr>
      <w:r>
        <w:rPr>
          <w:color w:val="A83625"/>
        </w:rPr>
        <w:t>Assisting learning by demonstrating</w:t>
      </w:r>
    </w:p>
    <w:p>
      <w:pPr>
        <w:pStyle w:val="BodyText"/>
        <w:spacing w:before="277"/>
        <w:ind w:left="113" w:right="127"/>
        <w:jc w:val="both"/>
      </w:pPr>
      <w:r>
        <w:rPr/>
        <w:t>How explaining is done is just as important as having good subject knowledge. Just giving out information is not enough. Demonstrating an idea or a concept in a practical way often assists pupil learning. This can be done by:</w:t>
      </w:r>
    </w:p>
    <w:p>
      <w:pPr>
        <w:pStyle w:val="BodyText"/>
        <w:spacing w:before="5"/>
      </w:pPr>
    </w:p>
    <w:p>
      <w:pPr>
        <w:pStyle w:val="ListParagraph"/>
        <w:numPr>
          <w:ilvl w:val="0"/>
          <w:numId w:val="1"/>
        </w:numPr>
        <w:tabs>
          <w:tab w:pos="833" w:val="left" w:leader="none"/>
          <w:tab w:pos="834" w:val="left" w:leader="none"/>
        </w:tabs>
        <w:spacing w:line="240" w:lineRule="auto" w:before="0" w:after="0"/>
        <w:ind w:left="893" w:right="1185" w:hanging="360"/>
        <w:jc w:val="left"/>
        <w:rPr>
          <w:sz w:val="24"/>
        </w:rPr>
      </w:pPr>
      <w:r>
        <w:rPr>
          <w:sz w:val="24"/>
        </w:rPr>
        <w:t>using pictures, diagrams, models, specimens and artefacts to show what you mean;</w:t>
      </w:r>
    </w:p>
    <w:p>
      <w:pPr>
        <w:pStyle w:val="ListParagraph"/>
        <w:numPr>
          <w:ilvl w:val="0"/>
          <w:numId w:val="1"/>
        </w:numPr>
        <w:tabs>
          <w:tab w:pos="833" w:val="left" w:leader="none"/>
          <w:tab w:pos="834" w:val="left" w:leader="none"/>
        </w:tabs>
        <w:spacing w:line="240" w:lineRule="auto" w:before="0" w:after="0"/>
        <w:ind w:left="893" w:right="907" w:hanging="360"/>
        <w:jc w:val="left"/>
        <w:rPr>
          <w:sz w:val="24"/>
        </w:rPr>
      </w:pPr>
      <w:r>
        <w:rPr>
          <w:sz w:val="24"/>
        </w:rPr>
        <w:t>getting pupils themselves to examine the subject of your explanation. For instance, as you explain about a plant, they can see what you are talking about better if they have a specimen in front of</w:t>
      </w:r>
      <w:r>
        <w:rPr>
          <w:spacing w:val="-4"/>
          <w:sz w:val="24"/>
        </w:rPr>
        <w:t> </w:t>
      </w:r>
      <w:r>
        <w:rPr>
          <w:sz w:val="24"/>
        </w:rPr>
        <w:t>them;</w:t>
      </w:r>
    </w:p>
    <w:p>
      <w:pPr>
        <w:pStyle w:val="ListParagraph"/>
        <w:numPr>
          <w:ilvl w:val="0"/>
          <w:numId w:val="1"/>
        </w:numPr>
        <w:tabs>
          <w:tab w:pos="833" w:val="left" w:leader="none"/>
          <w:tab w:pos="834" w:val="left" w:leader="none"/>
        </w:tabs>
        <w:spacing w:line="240" w:lineRule="auto" w:before="0" w:after="0"/>
        <w:ind w:left="893" w:right="738" w:hanging="360"/>
        <w:jc w:val="left"/>
        <w:rPr>
          <w:sz w:val="24"/>
        </w:rPr>
      </w:pPr>
      <w:r>
        <w:rPr>
          <w:sz w:val="24"/>
        </w:rPr>
        <w:t>enabling all pupils to see clearly what you are explaining. A demonstration provides the link between ‘knowing about’ and ‘being able to do.’ Let them experiment in small groups by handling, drawing, discussing, watching and experimenting. Demonstrations are most effective when they are accurate, when pupils are able to see clearly and understand what is going on, and when brief explanations and discussion occur during the</w:t>
      </w:r>
      <w:r>
        <w:rPr>
          <w:spacing w:val="-8"/>
          <w:sz w:val="24"/>
        </w:rPr>
        <w:t> </w:t>
      </w:r>
      <w:r>
        <w:rPr>
          <w:sz w:val="24"/>
        </w:rPr>
        <w:t>demonstration.</w:t>
      </w:r>
    </w:p>
    <w:p>
      <w:pPr>
        <w:pStyle w:val="ListParagraph"/>
        <w:numPr>
          <w:ilvl w:val="0"/>
          <w:numId w:val="1"/>
        </w:numPr>
        <w:tabs>
          <w:tab w:pos="833" w:val="left" w:leader="none"/>
          <w:tab w:pos="834" w:val="left" w:leader="none"/>
        </w:tabs>
        <w:spacing w:line="240" w:lineRule="auto" w:before="0" w:after="0"/>
        <w:ind w:left="893" w:right="892" w:hanging="360"/>
        <w:jc w:val="left"/>
        <w:rPr>
          <w:sz w:val="24"/>
        </w:rPr>
      </w:pPr>
      <w:r>
        <w:rPr>
          <w:sz w:val="24"/>
        </w:rPr>
        <w:t>asking for feedback from the pupils about their understanding of what they have seen.</w:t>
      </w:r>
    </w:p>
    <w:p>
      <w:pPr>
        <w:pStyle w:val="BodyText"/>
        <w:rPr>
          <w:sz w:val="21"/>
        </w:rPr>
      </w:pPr>
    </w:p>
    <w:p>
      <w:pPr>
        <w:pStyle w:val="Heading1"/>
      </w:pPr>
      <w:r>
        <w:rPr>
          <w:color w:val="A83625"/>
        </w:rPr>
        <w:t>Explaining is not one-way</w:t>
      </w:r>
    </w:p>
    <w:p>
      <w:pPr>
        <w:pStyle w:val="BodyText"/>
        <w:spacing w:before="278"/>
        <w:ind w:left="113" w:right="207"/>
        <w:jc w:val="both"/>
      </w:pPr>
      <w:r>
        <w:rPr/>
        <w:t>Always remember that to avoid pupil confusion in your explanations and demonstrations, you need to fully involve them to check that they understand what you are saying and doing.</w:t>
      </w:r>
    </w:p>
    <w:p>
      <w:pPr>
        <w:pStyle w:val="BodyText"/>
        <w:ind w:left="113"/>
        <w:jc w:val="both"/>
      </w:pPr>
      <w:r>
        <w:rPr/>
        <w:t>Important points to be aware of are:</w:t>
      </w:r>
    </w:p>
    <w:p>
      <w:pPr>
        <w:pStyle w:val="BodyText"/>
        <w:spacing w:before="5"/>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asking them questions to find out what they already know and</w:t>
      </w:r>
      <w:r>
        <w:rPr>
          <w:spacing w:val="-11"/>
          <w:sz w:val="24"/>
        </w:rPr>
        <w:t> </w:t>
      </w:r>
      <w:r>
        <w:rPr>
          <w:sz w:val="24"/>
        </w:rPr>
        <w:t>understand;</w:t>
      </w:r>
    </w:p>
    <w:p>
      <w:pPr>
        <w:pStyle w:val="ListParagraph"/>
        <w:numPr>
          <w:ilvl w:val="0"/>
          <w:numId w:val="1"/>
        </w:numPr>
        <w:tabs>
          <w:tab w:pos="833" w:val="left" w:leader="none"/>
          <w:tab w:pos="834" w:val="left" w:leader="none"/>
        </w:tabs>
        <w:spacing w:line="240" w:lineRule="auto" w:before="0" w:after="0"/>
        <w:ind w:left="893" w:right="942" w:hanging="360"/>
        <w:jc w:val="left"/>
        <w:rPr>
          <w:sz w:val="24"/>
        </w:rPr>
      </w:pPr>
      <w:r>
        <w:rPr>
          <w:sz w:val="24"/>
        </w:rPr>
        <w:t>finding out about misconceptions that are holding them back and which need to be ‘unlearned’;</w:t>
      </w:r>
    </w:p>
    <w:p>
      <w:pPr>
        <w:pStyle w:val="ListParagraph"/>
        <w:numPr>
          <w:ilvl w:val="0"/>
          <w:numId w:val="1"/>
        </w:numPr>
        <w:tabs>
          <w:tab w:pos="833" w:val="left" w:leader="none"/>
          <w:tab w:pos="834" w:val="left" w:leader="none"/>
        </w:tabs>
        <w:spacing w:line="240" w:lineRule="auto" w:before="0" w:after="0"/>
        <w:ind w:left="893" w:right="769" w:hanging="360"/>
        <w:jc w:val="left"/>
        <w:rPr>
          <w:sz w:val="24"/>
        </w:rPr>
      </w:pPr>
      <w:r>
        <w:rPr>
          <w:sz w:val="24"/>
        </w:rPr>
        <w:t>using small groups to exchange ideas and understanding about the topic you are explaining or</w:t>
      </w:r>
      <w:r>
        <w:rPr>
          <w:spacing w:val="-3"/>
          <w:sz w:val="24"/>
        </w:rPr>
        <w:t> </w:t>
      </w:r>
      <w:r>
        <w:rPr>
          <w:sz w:val="24"/>
        </w:rPr>
        <w:t>demonstrating;</w:t>
      </w:r>
    </w:p>
    <w:p>
      <w:pPr>
        <w:pStyle w:val="ListParagraph"/>
        <w:numPr>
          <w:ilvl w:val="0"/>
          <w:numId w:val="1"/>
        </w:numPr>
        <w:tabs>
          <w:tab w:pos="833" w:val="left" w:leader="none"/>
          <w:tab w:pos="834" w:val="left" w:leader="none"/>
        </w:tabs>
        <w:spacing w:line="240" w:lineRule="auto" w:before="0" w:after="0"/>
        <w:ind w:left="893" w:right="878" w:hanging="360"/>
        <w:jc w:val="left"/>
        <w:rPr>
          <w:sz w:val="24"/>
        </w:rPr>
      </w:pPr>
      <w:r>
        <w:rPr>
          <w:sz w:val="24"/>
        </w:rPr>
        <w:t>asking them to explain to you and to each other what they understand about the current</w:t>
      </w:r>
      <w:r>
        <w:rPr>
          <w:spacing w:val="-1"/>
          <w:sz w:val="24"/>
        </w:rPr>
        <w:t> </w:t>
      </w:r>
      <w:r>
        <w:rPr>
          <w:sz w:val="24"/>
        </w:rPr>
        <w:t>topic;</w:t>
      </w:r>
    </w:p>
    <w:p>
      <w:pPr>
        <w:pStyle w:val="ListParagraph"/>
        <w:numPr>
          <w:ilvl w:val="0"/>
          <w:numId w:val="1"/>
        </w:numPr>
        <w:tabs>
          <w:tab w:pos="833" w:val="left" w:leader="none"/>
          <w:tab w:pos="834" w:val="left" w:leader="none"/>
        </w:tabs>
        <w:spacing w:line="240" w:lineRule="auto" w:before="0" w:after="0"/>
        <w:ind w:left="893" w:right="1796" w:hanging="360"/>
        <w:jc w:val="left"/>
        <w:rPr>
          <w:sz w:val="24"/>
        </w:rPr>
      </w:pPr>
      <w:r>
        <w:rPr>
          <w:sz w:val="24"/>
        </w:rPr>
        <w:t>being prepared to use different words with different pupils to make your explanations</w:t>
      </w:r>
      <w:r>
        <w:rPr>
          <w:spacing w:val="-3"/>
          <w:sz w:val="24"/>
        </w:rPr>
        <w:t> </w:t>
      </w:r>
      <w:r>
        <w:rPr>
          <w:sz w:val="24"/>
        </w:rPr>
        <w:t>clearer.</w:t>
      </w:r>
    </w:p>
    <w:p>
      <w:pPr>
        <w:pStyle w:val="BodyText"/>
        <w:rPr>
          <w:sz w:val="21"/>
        </w:rPr>
      </w:pPr>
    </w:p>
    <w:p>
      <w:pPr>
        <w:pStyle w:val="Heading1"/>
      </w:pPr>
      <w:r>
        <w:rPr>
          <w:color w:val="A83625"/>
        </w:rPr>
        <w:t>Summary</w:t>
      </w:r>
    </w:p>
    <w:p>
      <w:pPr>
        <w:pStyle w:val="BodyText"/>
        <w:spacing w:before="280"/>
        <w:ind w:left="113"/>
        <w:jc w:val="both"/>
      </w:pPr>
      <w:r>
        <w:rPr/>
        <w:t>When explaining or demonstrating to really assist learning you need to:</w:t>
      </w:r>
    </w:p>
    <w:p>
      <w:pPr>
        <w:pStyle w:val="BodyText"/>
        <w:spacing w:before="2"/>
      </w:pPr>
    </w:p>
    <w:p>
      <w:pPr>
        <w:pStyle w:val="ListParagraph"/>
        <w:numPr>
          <w:ilvl w:val="0"/>
          <w:numId w:val="1"/>
        </w:numPr>
        <w:tabs>
          <w:tab w:pos="833" w:val="left" w:leader="none"/>
          <w:tab w:pos="834" w:val="left" w:leader="none"/>
        </w:tabs>
        <w:spacing w:line="240" w:lineRule="auto" w:before="1" w:after="0"/>
        <w:ind w:left="833" w:right="0" w:hanging="301"/>
        <w:jc w:val="left"/>
        <w:rPr>
          <w:sz w:val="24"/>
        </w:rPr>
      </w:pPr>
      <w:r>
        <w:rPr>
          <w:sz w:val="24"/>
        </w:rPr>
        <w:t>include the four key features named</w:t>
      </w:r>
      <w:r>
        <w:rPr>
          <w:spacing w:val="-8"/>
          <w:sz w:val="24"/>
        </w:rPr>
        <w:t> </w:t>
      </w:r>
      <w:r>
        <w:rPr>
          <w:sz w:val="24"/>
        </w:rPr>
        <w:t>above;</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focus on clarity and a sequence to your</w:t>
      </w:r>
      <w:r>
        <w:rPr>
          <w:spacing w:val="-7"/>
          <w:sz w:val="24"/>
        </w:rPr>
        <w:t> </w:t>
      </w:r>
      <w:r>
        <w:rPr>
          <w:sz w:val="24"/>
        </w:rPr>
        <w:t>explanation;</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check understanding as you go along, through questions and</w:t>
      </w:r>
      <w:r>
        <w:rPr>
          <w:spacing w:val="-12"/>
          <w:sz w:val="24"/>
        </w:rPr>
        <w:t> </w:t>
      </w:r>
      <w:r>
        <w:rPr>
          <w:sz w:val="24"/>
        </w:rPr>
        <w:t>discussion;</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use effective teaching aids for your demonstrations that everyone is able to</w:t>
      </w:r>
      <w:r>
        <w:rPr>
          <w:spacing w:val="-21"/>
          <w:sz w:val="24"/>
        </w:rPr>
        <w:t> </w:t>
      </w:r>
      <w:r>
        <w:rPr>
          <w:sz w:val="24"/>
        </w:rPr>
        <w:t>see;</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involve pupils in your explanations.</w:t>
      </w:r>
    </w:p>
    <w:sectPr>
      <w:pgSz w:w="11910" w:h="16840"/>
      <w:pgMar w:header="0" w:footer="956" w:top="180" w:bottom="1140" w:left="7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799552"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7.050pt;mso-position-horizontal-relative:page;mso-position-vertical-relative:page;z-index:-251798528"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1</w:t>
                </w:r>
                <w:r>
                  <w:rPr/>
                  <w:fldChar w:fldCharType="end"/>
                </w:r>
                <w:r>
                  <w:rPr>
                    <w:b/>
                    <w:color w:val="A83625"/>
                    <w:sz w:val="18"/>
                  </w:rPr>
                  <w:t> of</w:t>
                </w:r>
                <w:r>
                  <w:rPr>
                    <w:b/>
                    <w:color w:val="A83625"/>
                    <w:spacing w:val="-1"/>
                    <w:sz w:val="18"/>
                  </w:rPr>
                  <w:t> </w:t>
                </w:r>
                <w:r>
                  <w:rPr>
                    <w:b/>
                    <w:color w:val="A83625"/>
                    <w:sz w:val="18"/>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3" w:hanging="300"/>
      </w:pPr>
      <w:rPr>
        <w:rFonts w:hint="default" w:ascii="Symbol" w:hAnsi="Symbol" w:eastAsia="Symbol" w:cs="Symbol"/>
        <w:w w:val="99"/>
        <w:sz w:val="20"/>
        <w:szCs w:val="20"/>
        <w:lang w:val="en-gb" w:eastAsia="en-gb" w:bidi="en-gb"/>
      </w:rPr>
    </w:lvl>
    <w:lvl w:ilvl="1">
      <w:start w:val="0"/>
      <w:numFmt w:val="bullet"/>
      <w:lvlText w:val=""/>
      <w:lvlJc w:val="left"/>
      <w:pPr>
        <w:ind w:left="1673" w:hanging="240"/>
      </w:pPr>
      <w:rPr>
        <w:rFonts w:hint="default" w:ascii="Symbol" w:hAnsi="Symbol" w:eastAsia="Symbol" w:cs="Symbol"/>
        <w:w w:val="99"/>
        <w:sz w:val="20"/>
        <w:szCs w:val="20"/>
        <w:lang w:val="en-gb" w:eastAsia="en-gb" w:bidi="en-gb"/>
      </w:rPr>
    </w:lvl>
    <w:lvl w:ilvl="2">
      <w:start w:val="0"/>
      <w:numFmt w:val="bullet"/>
      <w:lvlText w:val="•"/>
      <w:lvlJc w:val="left"/>
      <w:pPr>
        <w:ind w:left="2640" w:hanging="240"/>
      </w:pPr>
      <w:rPr>
        <w:rFonts w:hint="default"/>
        <w:lang w:val="en-gb" w:eastAsia="en-gb" w:bidi="en-gb"/>
      </w:rPr>
    </w:lvl>
    <w:lvl w:ilvl="3">
      <w:start w:val="0"/>
      <w:numFmt w:val="bullet"/>
      <w:lvlText w:val="•"/>
      <w:lvlJc w:val="left"/>
      <w:pPr>
        <w:ind w:left="3601" w:hanging="240"/>
      </w:pPr>
      <w:rPr>
        <w:rFonts w:hint="default"/>
        <w:lang w:val="en-gb" w:eastAsia="en-gb" w:bidi="en-gb"/>
      </w:rPr>
    </w:lvl>
    <w:lvl w:ilvl="4">
      <w:start w:val="0"/>
      <w:numFmt w:val="bullet"/>
      <w:lvlText w:val="•"/>
      <w:lvlJc w:val="left"/>
      <w:pPr>
        <w:ind w:left="4562" w:hanging="240"/>
      </w:pPr>
      <w:rPr>
        <w:rFonts w:hint="default"/>
        <w:lang w:val="en-gb" w:eastAsia="en-gb" w:bidi="en-gb"/>
      </w:rPr>
    </w:lvl>
    <w:lvl w:ilvl="5">
      <w:start w:val="0"/>
      <w:numFmt w:val="bullet"/>
      <w:lvlText w:val="•"/>
      <w:lvlJc w:val="left"/>
      <w:pPr>
        <w:ind w:left="5522" w:hanging="240"/>
      </w:pPr>
      <w:rPr>
        <w:rFonts w:hint="default"/>
        <w:lang w:val="en-gb" w:eastAsia="en-gb" w:bidi="en-gb"/>
      </w:rPr>
    </w:lvl>
    <w:lvl w:ilvl="6">
      <w:start w:val="0"/>
      <w:numFmt w:val="bullet"/>
      <w:lvlText w:val="•"/>
      <w:lvlJc w:val="left"/>
      <w:pPr>
        <w:ind w:left="6483" w:hanging="240"/>
      </w:pPr>
      <w:rPr>
        <w:rFonts w:hint="default"/>
        <w:lang w:val="en-gb" w:eastAsia="en-gb" w:bidi="en-gb"/>
      </w:rPr>
    </w:lvl>
    <w:lvl w:ilvl="7">
      <w:start w:val="0"/>
      <w:numFmt w:val="bullet"/>
      <w:lvlText w:val="•"/>
      <w:lvlJc w:val="left"/>
      <w:pPr>
        <w:ind w:left="7444" w:hanging="240"/>
      </w:pPr>
      <w:rPr>
        <w:rFonts w:hint="default"/>
        <w:lang w:val="en-gb" w:eastAsia="en-gb" w:bidi="en-gb"/>
      </w:rPr>
    </w:lvl>
    <w:lvl w:ilvl="8">
      <w:start w:val="0"/>
      <w:numFmt w:val="bullet"/>
      <w:lvlText w:val="•"/>
      <w:lvlJc w:val="left"/>
      <w:pPr>
        <w:ind w:left="8404" w:hanging="24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sz w:val="30"/>
      <w:szCs w:val="30"/>
      <w:lang w:val="en-gb" w:eastAsia="en-gb" w:bidi="en-gb"/>
    </w:rPr>
  </w:style>
  <w:style w:styleId="ListParagraph" w:type="paragraph">
    <w:name w:val="List Paragraph"/>
    <w:basedOn w:val="Normal"/>
    <w:uiPriority w:val="1"/>
    <w:qFormat/>
    <w:pPr>
      <w:ind w:left="893"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tessafrica.net/" TargetMode="External"/><Relationship Id="rId10" Type="http://schemas.openxmlformats.org/officeDocument/2006/relationships/image" Target="media/image4.jpeg"/><Relationship Id="rId11" Type="http://schemas.openxmlformats.org/officeDocument/2006/relationships/hyperlink" Target="mailto:tessa@open.ac.uk" TargetMode="External"/><Relationship Id="rId12" Type="http://schemas.openxmlformats.org/officeDocument/2006/relationships/hyperlink" Target="http://creativecommons.org/licenses/by-sa/4.0/" TargetMode="External"/><Relationship Id="rId13" Type="http://schemas.openxmlformats.org/officeDocument/2006/relationships/image" Target="media/image5.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2020-03-11T11:19:23Z</dcterms:created>
  <dcterms:modified xsi:type="dcterms:W3CDTF">2020-03-11T11:19:23Z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