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3"/>
        </w:rPr>
      </w:pPr>
    </w:p>
    <w:p>
      <w:pPr>
        <w:spacing w:before="89"/>
        <w:ind w:left="113" w:right="0" w:firstLine="0"/>
        <w:jc w:val="left"/>
        <w:rPr>
          <w:b/>
          <w:sz w:val="32"/>
        </w:rPr>
      </w:pPr>
      <w:bookmarkStart w:name="Key Resource: Using group work in your c" w:id="1"/>
      <w:bookmarkEnd w:id="1"/>
      <w:r>
        <w:rPr/>
      </w:r>
      <w:r>
        <w:rPr>
          <w:b/>
          <w:color w:val="A83625"/>
          <w:sz w:val="32"/>
        </w:rPr>
        <w:t>Key Resource: Using group work in your classroom</w:t>
      </w:r>
    </w:p>
    <w:p>
      <w:pPr>
        <w:pStyle w:val="Heading1"/>
        <w:spacing w:before="280"/>
      </w:pPr>
      <w:r>
        <w:rPr>
          <w:color w:val="A83625"/>
        </w:rPr>
        <w:t>What group work does</w:t>
      </w:r>
    </w:p>
    <w:p>
      <w:pPr>
        <w:pStyle w:val="BodyText"/>
        <w:spacing w:before="280"/>
        <w:ind w:left="113" w:right="98"/>
      </w:pPr>
      <w:r>
        <w:rPr/>
        <w:t>Group work can be a very effective way of motivating pupils to learn by encouraging them to think, communicate, exchange ideas and thoughts, and make decisions. In groups, pupils can both teach others and learn from each other in ways that result in a powerful and active form of learning.</w:t>
      </w:r>
    </w:p>
    <w:p>
      <w:pPr>
        <w:pStyle w:val="BodyText"/>
        <w:spacing w:before="4"/>
      </w:pPr>
    </w:p>
    <w:p>
      <w:pPr>
        <w:pStyle w:val="Heading1"/>
      </w:pPr>
      <w:r>
        <w:rPr>
          <w:color w:val="A83625"/>
        </w:rPr>
        <w:t>When to do group work</w:t>
      </w:r>
    </w:p>
    <w:p>
      <w:pPr>
        <w:pStyle w:val="BodyText"/>
        <w:spacing w:before="280"/>
        <w:ind w:left="113"/>
      </w:pPr>
      <w:r>
        <w:rPr/>
        <w:t>Group work can be used:</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at the start of a lesson or topic, to find out what pupils already</w:t>
      </w:r>
      <w:r>
        <w:rPr>
          <w:spacing w:val="-12"/>
          <w:sz w:val="24"/>
        </w:rPr>
        <w:t> </w:t>
      </w:r>
      <w:r>
        <w:rPr>
          <w:sz w:val="24"/>
        </w:rPr>
        <w:t>know;</w:t>
      </w:r>
    </w:p>
    <w:p>
      <w:pPr>
        <w:pStyle w:val="ListParagraph"/>
        <w:numPr>
          <w:ilvl w:val="0"/>
          <w:numId w:val="1"/>
        </w:numPr>
        <w:tabs>
          <w:tab w:pos="833" w:val="left" w:leader="none"/>
          <w:tab w:pos="834" w:val="left" w:leader="none"/>
        </w:tabs>
        <w:spacing w:line="240" w:lineRule="auto" w:before="0" w:after="0"/>
        <w:ind w:left="893" w:right="1388" w:hanging="360"/>
        <w:jc w:val="left"/>
        <w:rPr>
          <w:sz w:val="24"/>
        </w:rPr>
      </w:pPr>
      <w:r>
        <w:rPr>
          <w:sz w:val="24"/>
        </w:rPr>
        <w:t>during a lesson, to encourage understanding or to share views and opinions about a</w:t>
      </w:r>
      <w:r>
        <w:rPr>
          <w:spacing w:val="-2"/>
          <w:sz w:val="24"/>
        </w:rPr>
        <w:t> </w:t>
      </w:r>
      <w:r>
        <w:rPr>
          <w:sz w:val="24"/>
        </w:rPr>
        <w:t>topic;</w:t>
      </w:r>
    </w:p>
    <w:p>
      <w:pPr>
        <w:pStyle w:val="ListParagraph"/>
        <w:numPr>
          <w:ilvl w:val="0"/>
          <w:numId w:val="1"/>
        </w:numPr>
        <w:tabs>
          <w:tab w:pos="833" w:val="left" w:leader="none"/>
          <w:tab w:pos="834" w:val="left" w:leader="none"/>
        </w:tabs>
        <w:spacing w:line="240" w:lineRule="auto" w:before="0" w:after="0"/>
        <w:ind w:left="893" w:right="854" w:hanging="360"/>
        <w:jc w:val="left"/>
        <w:rPr>
          <w:sz w:val="24"/>
        </w:rPr>
      </w:pPr>
      <w:r>
        <w:rPr>
          <w:sz w:val="24"/>
        </w:rPr>
        <w:t>at the end of a lesson, to help pupils think about their learning and be clear about what they know and what they still need to</w:t>
      </w:r>
      <w:r>
        <w:rPr>
          <w:spacing w:val="-4"/>
          <w:sz w:val="24"/>
        </w:rPr>
        <w:t> </w:t>
      </w:r>
      <w:r>
        <w:rPr>
          <w:sz w:val="24"/>
        </w:rPr>
        <w:t>understand.</w:t>
      </w:r>
    </w:p>
    <w:p>
      <w:pPr>
        <w:pStyle w:val="BodyText"/>
        <w:spacing w:before="11"/>
        <w:rPr>
          <w:sz w:val="20"/>
        </w:rPr>
      </w:pPr>
    </w:p>
    <w:p>
      <w:pPr>
        <w:pStyle w:val="Heading1"/>
      </w:pPr>
      <w:r>
        <w:rPr>
          <w:color w:val="A83625"/>
        </w:rPr>
        <w:t>Before you start</w:t>
      </w:r>
    </w:p>
    <w:p>
      <w:pPr>
        <w:pStyle w:val="ListParagraph"/>
        <w:numPr>
          <w:ilvl w:val="0"/>
          <w:numId w:val="1"/>
        </w:numPr>
        <w:tabs>
          <w:tab w:pos="833" w:val="left" w:leader="none"/>
          <w:tab w:pos="834" w:val="left" w:leader="none"/>
        </w:tabs>
        <w:spacing w:line="240" w:lineRule="auto" w:before="237" w:after="0"/>
        <w:ind w:left="893" w:right="912" w:hanging="360"/>
        <w:jc w:val="left"/>
        <w:rPr>
          <w:sz w:val="24"/>
        </w:rPr>
      </w:pPr>
      <w:r>
        <w:rPr>
          <w:sz w:val="24"/>
        </w:rPr>
        <w:t>Before starting a group session, be clear about what you want to achieve from it. It needs to have a clear purpose or objective. For example: ‘By the end of the session we will be able to describe how rain is formed and what it does to our local</w:t>
      </w:r>
      <w:r>
        <w:rPr>
          <w:spacing w:val="-1"/>
          <w:sz w:val="24"/>
        </w:rPr>
        <w:t> </w:t>
      </w:r>
      <w:r>
        <w:rPr>
          <w:sz w:val="24"/>
        </w:rPr>
        <w:t>landscape.’</w:t>
      </w:r>
    </w:p>
    <w:p>
      <w:pPr>
        <w:pStyle w:val="ListParagraph"/>
        <w:numPr>
          <w:ilvl w:val="0"/>
          <w:numId w:val="1"/>
        </w:numPr>
        <w:tabs>
          <w:tab w:pos="833" w:val="left" w:leader="none"/>
          <w:tab w:pos="834" w:val="left" w:leader="none"/>
        </w:tabs>
        <w:spacing w:line="240" w:lineRule="auto" w:before="0" w:after="0"/>
        <w:ind w:left="893" w:right="830" w:hanging="360"/>
        <w:jc w:val="left"/>
        <w:rPr>
          <w:sz w:val="24"/>
        </w:rPr>
      </w:pPr>
      <w:r>
        <w:rPr>
          <w:sz w:val="24"/>
        </w:rPr>
        <w:t>Divide the class into manageable groups depending on the size of your class, but don’t make them too large – everyone needs to be able to contribute. You may have to move furniture or perhaps have some groups</w:t>
      </w:r>
      <w:r>
        <w:rPr>
          <w:spacing w:val="-10"/>
          <w:sz w:val="24"/>
        </w:rPr>
        <w:t> </w:t>
      </w:r>
      <w:r>
        <w:rPr>
          <w:sz w:val="24"/>
        </w:rPr>
        <w:t>outside.</w:t>
      </w:r>
    </w:p>
    <w:p>
      <w:pPr>
        <w:pStyle w:val="ListParagraph"/>
        <w:numPr>
          <w:ilvl w:val="0"/>
          <w:numId w:val="1"/>
        </w:numPr>
        <w:tabs>
          <w:tab w:pos="833" w:val="left" w:leader="none"/>
          <w:tab w:pos="834" w:val="left" w:leader="none"/>
        </w:tabs>
        <w:spacing w:line="240" w:lineRule="auto" w:before="0" w:after="0"/>
        <w:ind w:left="893" w:right="1218" w:hanging="360"/>
        <w:jc w:val="left"/>
        <w:rPr>
          <w:sz w:val="24"/>
        </w:rPr>
      </w:pPr>
      <w:r>
        <w:rPr>
          <w:sz w:val="24"/>
        </w:rPr>
        <w:t>Give each individual a job to do in the group. These could include: recorder of what’s said; organiser; devil’s advocate; peacekeeper; spokesperson; link person with other groups.</w:t>
      </w:r>
    </w:p>
    <w:p>
      <w:pPr>
        <w:pStyle w:val="ListParagraph"/>
        <w:numPr>
          <w:ilvl w:val="0"/>
          <w:numId w:val="1"/>
        </w:numPr>
        <w:tabs>
          <w:tab w:pos="833" w:val="left" w:leader="none"/>
          <w:tab w:pos="834" w:val="left" w:leader="none"/>
        </w:tabs>
        <w:spacing w:line="240" w:lineRule="auto" w:before="0" w:after="0"/>
        <w:ind w:left="893" w:right="876" w:hanging="360"/>
        <w:jc w:val="left"/>
        <w:rPr>
          <w:sz w:val="24"/>
        </w:rPr>
      </w:pPr>
      <w:r>
        <w:rPr>
          <w:sz w:val="24"/>
        </w:rPr>
        <w:t>Decide ways in which you will divide pupils into groups. You could use friendship groups, put similar personalities together, different personalities together, similar ability groups, mixed ability groups – or have no category at all. Which one will work best in the situation you are</w:t>
      </w:r>
      <w:r>
        <w:rPr>
          <w:spacing w:val="-1"/>
          <w:sz w:val="24"/>
        </w:rPr>
        <w:t> </w:t>
      </w:r>
      <w:r>
        <w:rPr>
          <w:sz w:val="24"/>
        </w:rPr>
        <w:t>planning?</w:t>
      </w:r>
    </w:p>
    <w:p>
      <w:pPr>
        <w:pStyle w:val="ListParagraph"/>
        <w:numPr>
          <w:ilvl w:val="0"/>
          <w:numId w:val="1"/>
        </w:numPr>
        <w:tabs>
          <w:tab w:pos="833" w:val="left" w:leader="none"/>
          <w:tab w:pos="834" w:val="left" w:leader="none"/>
        </w:tabs>
        <w:spacing w:line="240" w:lineRule="auto" w:before="0" w:after="0"/>
        <w:ind w:left="893" w:right="1033" w:hanging="360"/>
        <w:jc w:val="left"/>
        <w:rPr>
          <w:sz w:val="24"/>
        </w:rPr>
      </w:pPr>
      <w:r>
        <w:rPr>
          <w:sz w:val="24"/>
        </w:rPr>
        <w:t>Plan enough time for the pupils to reach a conclusion as well as time at the end of the session for each group – and you – to summarise the</w:t>
      </w:r>
      <w:r>
        <w:rPr>
          <w:spacing w:val="-18"/>
          <w:sz w:val="24"/>
        </w:rPr>
        <w:t> </w:t>
      </w:r>
      <w:r>
        <w:rPr>
          <w:sz w:val="24"/>
        </w:rPr>
        <w:t>conclusions.</w:t>
      </w:r>
    </w:p>
    <w:p>
      <w:pPr>
        <w:pStyle w:val="BodyText"/>
        <w:rPr>
          <w:sz w:val="21"/>
        </w:rPr>
      </w:pPr>
    </w:p>
    <w:p>
      <w:pPr>
        <w:pStyle w:val="Heading1"/>
      </w:pPr>
      <w:r>
        <w:rPr>
          <w:color w:val="A83625"/>
        </w:rPr>
        <w:t>Introducing the group work</w:t>
      </w:r>
    </w:p>
    <w:p>
      <w:pPr>
        <w:pStyle w:val="ListParagraph"/>
        <w:numPr>
          <w:ilvl w:val="0"/>
          <w:numId w:val="1"/>
        </w:numPr>
        <w:tabs>
          <w:tab w:pos="833" w:val="left" w:leader="none"/>
          <w:tab w:pos="834" w:val="left" w:leader="none"/>
        </w:tabs>
        <w:spacing w:line="240" w:lineRule="auto" w:before="240" w:after="0"/>
        <w:ind w:left="893" w:right="952" w:hanging="360"/>
        <w:jc w:val="left"/>
        <w:rPr>
          <w:sz w:val="24"/>
        </w:rPr>
      </w:pPr>
      <w:r>
        <w:rPr>
          <w:sz w:val="24"/>
        </w:rPr>
        <w:t>Once pupils are in their groups, explain that working together to solve a problem or reach a decision is an important part of their learning and personal development. Tell them what you expect of them in terms of behaviour (e.g. respect for each other, listening, making decisions) and individual roles (e.g. spokesperson, recorder).</w:t>
      </w:r>
    </w:p>
    <w:p>
      <w:pPr>
        <w:pStyle w:val="ListParagraph"/>
        <w:numPr>
          <w:ilvl w:val="0"/>
          <w:numId w:val="1"/>
        </w:numPr>
        <w:tabs>
          <w:tab w:pos="833" w:val="left" w:leader="none"/>
          <w:tab w:pos="834" w:val="left" w:leader="none"/>
        </w:tabs>
        <w:spacing w:line="240" w:lineRule="auto" w:before="0" w:after="0"/>
        <w:ind w:left="893" w:right="916" w:hanging="360"/>
        <w:jc w:val="left"/>
        <w:rPr>
          <w:sz w:val="24"/>
        </w:rPr>
      </w:pPr>
      <w:r>
        <w:rPr>
          <w:sz w:val="24"/>
        </w:rPr>
        <w:t>Explain the task clearly and have it written on the board as well. Tell the pupils what they have to do and what the outcome of their group work should look like. This is very important because if they do not understand what they have to do, the session will get off to a bad start. Allow pupils to ask questions before you start, and be helpful with your</w:t>
      </w:r>
      <w:r>
        <w:rPr>
          <w:spacing w:val="-3"/>
          <w:sz w:val="24"/>
        </w:rPr>
        <w:t> </w:t>
      </w:r>
      <w:r>
        <w:rPr>
          <w:sz w:val="24"/>
        </w:rPr>
        <w:t>answers.</w:t>
      </w:r>
    </w:p>
    <w:p>
      <w:pPr>
        <w:spacing w:after="0" w:line="240" w:lineRule="auto"/>
        <w:jc w:val="left"/>
        <w:rPr>
          <w:sz w:val="24"/>
        </w:rPr>
        <w:sectPr>
          <w:headerReference w:type="default" r:id="rId5"/>
          <w:footerReference w:type="default" r:id="rId6"/>
          <w:type w:val="continuous"/>
          <w:pgSz w:w="11910" w:h="16840"/>
          <w:pgMar w:header="204" w:footer="956" w:top="1080" w:bottom="1140" w:left="760" w:right="860"/>
          <w:pgNumType w:start="1"/>
        </w:sectPr>
      </w:pPr>
    </w:p>
    <w:p>
      <w:pPr>
        <w:pStyle w:val="Heading1"/>
        <w:spacing w:before="80"/>
      </w:pPr>
      <w:r>
        <w:rPr>
          <w:color w:val="A83625"/>
        </w:rPr>
        <w:t>Managing the group work</w:t>
      </w:r>
    </w:p>
    <w:p>
      <w:pPr>
        <w:pStyle w:val="BodyText"/>
        <w:spacing w:before="278"/>
        <w:ind w:left="113" w:right="246"/>
      </w:pPr>
      <w:r>
        <w:rPr/>
        <w:t>Check how the groups are doing. Resist the temptation to get involved too soon. Let them struggle with difficulties for a while. If you give them answers too quickly they will come to rely on you rather than on themselves. If necessary, clarify your instructions. It is important to remember that all learning requires us to struggle with difficulty or uncertainty. So expect a lot from your pupils, telling them how confident you are in them as you go between the groups.</w:t>
      </w:r>
    </w:p>
    <w:p>
      <w:pPr>
        <w:pStyle w:val="BodyText"/>
        <w:spacing w:before="6"/>
      </w:pPr>
    </w:p>
    <w:p>
      <w:pPr>
        <w:pStyle w:val="Heading1"/>
      </w:pPr>
      <w:r>
        <w:rPr>
          <w:color w:val="A83625"/>
        </w:rPr>
        <w:t>Ending the group work</w:t>
      </w:r>
    </w:p>
    <w:p>
      <w:pPr>
        <w:pStyle w:val="ListParagraph"/>
        <w:numPr>
          <w:ilvl w:val="0"/>
          <w:numId w:val="1"/>
        </w:numPr>
        <w:tabs>
          <w:tab w:pos="833" w:val="left" w:leader="none"/>
          <w:tab w:pos="834" w:val="left" w:leader="none"/>
        </w:tabs>
        <w:spacing w:line="240" w:lineRule="auto" w:before="239" w:after="0"/>
        <w:ind w:left="893" w:right="1130" w:hanging="360"/>
        <w:jc w:val="left"/>
        <w:rPr>
          <w:sz w:val="24"/>
        </w:rPr>
      </w:pPr>
      <w:r>
        <w:rPr>
          <w:sz w:val="24"/>
        </w:rPr>
        <w:t>End with a whole-class session in which you get, for example, one idea from each group until you meet the original objective, or ask each group to tell you about the most interesting thing they learned. Try to make the final session an exchange of ideas rather than you telling them what they have</w:t>
      </w:r>
      <w:r>
        <w:rPr>
          <w:spacing w:val="-15"/>
          <w:sz w:val="24"/>
        </w:rPr>
        <w:t> </w:t>
      </w:r>
      <w:r>
        <w:rPr>
          <w:sz w:val="24"/>
        </w:rPr>
        <w:t>missed.</w:t>
      </w:r>
    </w:p>
    <w:p>
      <w:pPr>
        <w:pStyle w:val="ListParagraph"/>
        <w:numPr>
          <w:ilvl w:val="0"/>
          <w:numId w:val="1"/>
        </w:numPr>
        <w:tabs>
          <w:tab w:pos="833" w:val="left" w:leader="none"/>
          <w:tab w:pos="834" w:val="left" w:leader="none"/>
        </w:tabs>
        <w:spacing w:line="240" w:lineRule="auto" w:before="0" w:after="0"/>
        <w:ind w:left="893" w:right="956" w:hanging="360"/>
        <w:jc w:val="left"/>
        <w:rPr>
          <w:sz w:val="24"/>
        </w:rPr>
      </w:pPr>
      <w:r>
        <w:rPr>
          <w:sz w:val="24"/>
        </w:rPr>
        <w:t>Summarise the work of the groups in a way that makes them feel proud of what they have done. Also, ask them to tell you how well they thought they worked in a group. This gives you a clue about their own response to group</w:t>
      </w:r>
      <w:r>
        <w:rPr>
          <w:spacing w:val="-15"/>
          <w:sz w:val="24"/>
        </w:rPr>
        <w:t> </w:t>
      </w:r>
      <w:r>
        <w:rPr>
          <w:sz w:val="24"/>
        </w:rPr>
        <w:t>work.</w:t>
      </w:r>
    </w:p>
    <w:p>
      <w:pPr>
        <w:pStyle w:val="ListParagraph"/>
        <w:numPr>
          <w:ilvl w:val="0"/>
          <w:numId w:val="1"/>
        </w:numPr>
        <w:tabs>
          <w:tab w:pos="833" w:val="left" w:leader="none"/>
          <w:tab w:pos="834" w:val="left" w:leader="none"/>
        </w:tabs>
        <w:spacing w:line="240" w:lineRule="auto" w:before="0" w:after="0"/>
        <w:ind w:left="893" w:right="1018" w:hanging="360"/>
        <w:jc w:val="left"/>
        <w:rPr>
          <w:sz w:val="24"/>
        </w:rPr>
      </w:pPr>
      <w:r>
        <w:rPr>
          <w:sz w:val="24"/>
        </w:rPr>
        <w:t>Finally, think about how well you did in managing the group session. Recognise the parts you did well and note those areas where you could have done things differently to make the groups more effective. Use this information to develop your techniques for the next time, and note your own improvement and that of your</w:t>
      </w:r>
      <w:r>
        <w:rPr>
          <w:spacing w:val="-2"/>
          <w:sz w:val="24"/>
        </w:rPr>
        <w:t> </w:t>
      </w:r>
      <w:r>
        <w:rPr>
          <w:sz w:val="24"/>
        </w:rPr>
        <w:t>pupils.</w:t>
      </w:r>
    </w:p>
    <w:p>
      <w:pPr>
        <w:spacing w:after="0" w:line="240" w:lineRule="auto"/>
        <w:jc w:val="left"/>
        <w:rPr>
          <w:sz w:val="24"/>
        </w:rPr>
        <w:sectPr>
          <w:pgSz w:w="11910" w:h="16840"/>
          <w:pgMar w:header="204" w:footer="956" w:top="1080" w:bottom="1140" w:left="760" w:right="86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85216"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784192"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783168"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782144"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29216">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30240">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38" w:hanging="300"/>
      </w:pPr>
      <w:rPr>
        <w:rFonts w:hint="default"/>
        <w:lang w:val="en-gb" w:eastAsia="en-gb" w:bidi="en-gb"/>
      </w:rPr>
    </w:lvl>
    <w:lvl w:ilvl="2">
      <w:start w:val="0"/>
      <w:numFmt w:val="bullet"/>
      <w:lvlText w:val="•"/>
      <w:lvlJc w:val="left"/>
      <w:pPr>
        <w:ind w:left="2777" w:hanging="300"/>
      </w:pPr>
      <w:rPr>
        <w:rFonts w:hint="default"/>
        <w:lang w:val="en-gb" w:eastAsia="en-gb" w:bidi="en-gb"/>
      </w:rPr>
    </w:lvl>
    <w:lvl w:ilvl="3">
      <w:start w:val="0"/>
      <w:numFmt w:val="bullet"/>
      <w:lvlText w:val="•"/>
      <w:lvlJc w:val="left"/>
      <w:pPr>
        <w:ind w:left="3715" w:hanging="300"/>
      </w:pPr>
      <w:rPr>
        <w:rFonts w:hint="default"/>
        <w:lang w:val="en-gb" w:eastAsia="en-gb" w:bidi="en-gb"/>
      </w:rPr>
    </w:lvl>
    <w:lvl w:ilvl="4">
      <w:start w:val="0"/>
      <w:numFmt w:val="bullet"/>
      <w:lvlText w:val="•"/>
      <w:lvlJc w:val="left"/>
      <w:pPr>
        <w:ind w:left="4654" w:hanging="300"/>
      </w:pPr>
      <w:rPr>
        <w:rFonts w:hint="default"/>
        <w:lang w:val="en-gb" w:eastAsia="en-gb" w:bidi="en-gb"/>
      </w:rPr>
    </w:lvl>
    <w:lvl w:ilvl="5">
      <w:start w:val="0"/>
      <w:numFmt w:val="bullet"/>
      <w:lvlText w:val="•"/>
      <w:lvlJc w:val="left"/>
      <w:pPr>
        <w:ind w:left="5593" w:hanging="300"/>
      </w:pPr>
      <w:rPr>
        <w:rFonts w:hint="default"/>
        <w:lang w:val="en-gb" w:eastAsia="en-gb" w:bidi="en-gb"/>
      </w:rPr>
    </w:lvl>
    <w:lvl w:ilvl="6">
      <w:start w:val="0"/>
      <w:numFmt w:val="bullet"/>
      <w:lvlText w:val="•"/>
      <w:lvlJc w:val="left"/>
      <w:pPr>
        <w:ind w:left="6531" w:hanging="300"/>
      </w:pPr>
      <w:rPr>
        <w:rFonts w:hint="default"/>
        <w:lang w:val="en-gb" w:eastAsia="en-gb" w:bidi="en-gb"/>
      </w:rPr>
    </w:lvl>
    <w:lvl w:ilvl="7">
      <w:start w:val="0"/>
      <w:numFmt w:val="bullet"/>
      <w:lvlText w:val="•"/>
      <w:lvlJc w:val="left"/>
      <w:pPr>
        <w:ind w:left="7470" w:hanging="300"/>
      </w:pPr>
      <w:rPr>
        <w:rFonts w:hint="default"/>
        <w:lang w:val="en-gb" w:eastAsia="en-gb" w:bidi="en-gb"/>
      </w:rPr>
    </w:lvl>
    <w:lvl w:ilvl="8">
      <w:start w:val="0"/>
      <w:numFmt w:val="bullet"/>
      <w:lvlText w:val="•"/>
      <w:lvlJc w:val="left"/>
      <w:pPr>
        <w:ind w:left="8409"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93"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2020-03-11T11:23:58Z</dcterms:created>
  <dcterms:modified xsi:type="dcterms:W3CDTF">2020-03-11T11:23:58Z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