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13" w:right="0" w:firstLine="0"/>
        <w:jc w:val="left"/>
        <w:rPr>
          <w:b/>
          <w:sz w:val="32"/>
        </w:rPr>
      </w:pPr>
      <w:bookmarkStart w:name="Key Resource: Using questioning to promo" w:id="1"/>
      <w:bookmarkEnd w:id="1"/>
      <w:r>
        <w:rPr/>
      </w:r>
      <w:r>
        <w:rPr>
          <w:b/>
          <w:color w:val="A83625"/>
          <w:sz w:val="32"/>
        </w:rPr>
        <w:t>Key Resource: Using questioning to promote thinking</w:t>
      </w:r>
    </w:p>
    <w:p>
      <w:pPr>
        <w:pStyle w:val="Heading1"/>
        <w:spacing w:before="282"/>
      </w:pPr>
      <w:r>
        <w:rPr>
          <w:color w:val="A83625"/>
        </w:rPr>
        <w:t>Introduction</w:t>
      </w:r>
    </w:p>
    <w:p>
      <w:pPr>
        <w:pStyle w:val="BodyText"/>
        <w:spacing w:before="278"/>
        <w:ind w:left="113" w:right="117"/>
      </w:pPr>
      <w:r>
        <w:rPr/>
        <w:t>Good questioning is an important skill for you, the teacher, to acquire. Questioning can be used to find out what your pupils know and assess their progress, but can also be used to inspire them, help extend their thinking skills and develop enquiring minds. Questions you can ask can be divided into two broad categories:</w:t>
      </w:r>
    </w:p>
    <w:p>
      <w:pPr>
        <w:pStyle w:val="BodyText"/>
        <w:spacing w:before="5"/>
      </w:pPr>
    </w:p>
    <w:p>
      <w:pPr>
        <w:pStyle w:val="ListParagraph"/>
        <w:numPr>
          <w:ilvl w:val="0"/>
          <w:numId w:val="1"/>
        </w:numPr>
        <w:tabs>
          <w:tab w:pos="834" w:val="left" w:leader="none"/>
        </w:tabs>
        <w:spacing w:line="240" w:lineRule="auto" w:before="0" w:after="0"/>
        <w:ind w:left="893" w:right="933" w:hanging="360"/>
        <w:jc w:val="both"/>
        <w:rPr>
          <w:sz w:val="24"/>
        </w:rPr>
      </w:pPr>
      <w:r>
        <w:rPr>
          <w:sz w:val="24"/>
        </w:rPr>
        <w:t>Lower level questions, which involve the recall of facts and knowledge previously taught, often involving closed questions (a yes or no</w:t>
      </w:r>
      <w:r>
        <w:rPr>
          <w:spacing w:val="-12"/>
          <w:sz w:val="24"/>
        </w:rPr>
        <w:t> </w:t>
      </w:r>
      <w:r>
        <w:rPr>
          <w:sz w:val="24"/>
        </w:rPr>
        <w:t>answer).</w:t>
      </w:r>
    </w:p>
    <w:p>
      <w:pPr>
        <w:pStyle w:val="ListParagraph"/>
        <w:numPr>
          <w:ilvl w:val="0"/>
          <w:numId w:val="1"/>
        </w:numPr>
        <w:tabs>
          <w:tab w:pos="834" w:val="left" w:leader="none"/>
        </w:tabs>
        <w:spacing w:line="240" w:lineRule="auto" w:before="0" w:after="0"/>
        <w:ind w:left="893" w:right="1150" w:hanging="360"/>
        <w:jc w:val="both"/>
        <w:rPr>
          <w:sz w:val="24"/>
        </w:rPr>
      </w:pPr>
      <w:r>
        <w:rPr>
          <w:sz w:val="24"/>
        </w:rPr>
        <w:t>Higher level questions, which ask the pupil to use bits of information previously learned to form an answer or to support an answer in a logical manner. Higher level questions are often more</w:t>
      </w:r>
      <w:r>
        <w:rPr>
          <w:spacing w:val="-7"/>
          <w:sz w:val="24"/>
        </w:rPr>
        <w:t> </w:t>
      </w:r>
      <w:r>
        <w:rPr>
          <w:sz w:val="24"/>
        </w:rPr>
        <w:t>open-ended.</w:t>
      </w:r>
    </w:p>
    <w:p>
      <w:pPr>
        <w:pStyle w:val="BodyText"/>
        <w:spacing w:before="5"/>
      </w:pPr>
    </w:p>
    <w:p>
      <w:pPr>
        <w:pStyle w:val="BodyText"/>
        <w:ind w:left="113"/>
      </w:pPr>
      <w:r>
        <w:rPr/>
        <w:t>There are two issues with both higher and lower level questions. These are:</w:t>
      </w:r>
    </w:p>
    <w:p>
      <w:pPr>
        <w:pStyle w:val="BodyText"/>
        <w:spacing w:before="2"/>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encouraging pupils to</w:t>
      </w:r>
      <w:r>
        <w:rPr>
          <w:spacing w:val="1"/>
          <w:sz w:val="24"/>
        </w:rPr>
        <w:t> </w:t>
      </w:r>
      <w:r>
        <w:rPr>
          <w:sz w:val="24"/>
        </w:rPr>
        <w:t>respond;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improving the quality of their</w:t>
      </w:r>
      <w:r>
        <w:rPr>
          <w:spacing w:val="-2"/>
          <w:sz w:val="24"/>
        </w:rPr>
        <w:t> </w:t>
      </w:r>
      <w:r>
        <w:rPr>
          <w:sz w:val="24"/>
        </w:rPr>
        <w:t>responses.</w:t>
      </w:r>
    </w:p>
    <w:p>
      <w:pPr>
        <w:pStyle w:val="BodyText"/>
        <w:rPr>
          <w:sz w:val="21"/>
        </w:rPr>
      </w:pPr>
    </w:p>
    <w:p>
      <w:pPr>
        <w:pStyle w:val="Heading1"/>
      </w:pPr>
      <w:r>
        <w:rPr>
          <w:color w:val="A83625"/>
        </w:rPr>
        <w:t>Encouraging pupils to respond</w:t>
      </w:r>
    </w:p>
    <w:p>
      <w:pPr>
        <w:pStyle w:val="BodyText"/>
        <w:spacing w:before="280"/>
        <w:ind w:left="113" w:right="451"/>
      </w:pPr>
      <w:r>
        <w:rPr/>
        <w:t>Many teachers allow just one second before answering the question themselves or asking another question. This leaves no time for pupils to think what they might say. By waiting between three and six seconds before saying anything gives pupils time to think of answers. Research indicates that this has a positive effect on pupils’ achievement. By waiting after posing a question there is an increase in:</w:t>
      </w:r>
    </w:p>
    <w:p>
      <w:pPr>
        <w:pStyle w:val="BodyText"/>
        <w:spacing w:before="3"/>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length of pupil</w:t>
      </w:r>
      <w:r>
        <w:rPr>
          <w:spacing w:val="2"/>
          <w:sz w:val="24"/>
        </w:rPr>
        <w:t> </w:t>
      </w:r>
      <w:r>
        <w:rPr>
          <w:sz w:val="24"/>
        </w:rPr>
        <w:t>responses;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number of pupils offering</w:t>
      </w:r>
      <w:r>
        <w:rPr>
          <w:spacing w:val="-6"/>
          <w:sz w:val="24"/>
        </w:rPr>
        <w:t> </w:t>
      </w:r>
      <w:r>
        <w:rPr>
          <w:sz w:val="24"/>
        </w:rPr>
        <w:t>responses;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frequency of pupil</w:t>
      </w:r>
      <w:r>
        <w:rPr>
          <w:spacing w:val="-5"/>
          <w:sz w:val="24"/>
        </w:rPr>
        <w:t> </w:t>
      </w:r>
      <w:r>
        <w:rPr>
          <w:sz w:val="24"/>
        </w:rPr>
        <w:t>questions;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number of responses from less capable</w:t>
      </w:r>
      <w:r>
        <w:rPr>
          <w:spacing w:val="-3"/>
          <w:sz w:val="24"/>
        </w:rPr>
        <w:t> </w:t>
      </w:r>
      <w:r>
        <w:rPr>
          <w:sz w:val="24"/>
        </w:rPr>
        <w:t>pupils;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positive interactions between</w:t>
      </w:r>
      <w:r>
        <w:rPr>
          <w:spacing w:val="-1"/>
          <w:sz w:val="24"/>
        </w:rPr>
        <w:t> </w:t>
      </w:r>
      <w:r>
        <w:rPr>
          <w:sz w:val="24"/>
        </w:rPr>
        <w:t>pupils.</w:t>
      </w:r>
    </w:p>
    <w:p>
      <w:pPr>
        <w:pStyle w:val="BodyText"/>
        <w:spacing w:before="5"/>
      </w:pPr>
    </w:p>
    <w:p>
      <w:pPr>
        <w:pStyle w:val="BodyText"/>
        <w:ind w:left="113" w:right="224"/>
      </w:pPr>
      <w:r>
        <w:rPr/>
        <w:t>The way incorrect responses are handled will determine whether pupils continue to respond to the teacher’s questions. ‘That’s wrong’, ‘You are stupid’ or other humiliation or punishment often stops pupils volunteering any more answers from fear of further embarrassment or ridicule. Instead, if you can pick out parts of the answers that are correct and ask them in a supportive way to think a bit more about their answer you may encourage more active participation. This helps your pupils to learn from their mistakes in a way that negative behaviour towards them does not. The following phrase shows how you might handle an incorrect answer in a more supportive way:</w:t>
      </w:r>
    </w:p>
    <w:p>
      <w:pPr>
        <w:pStyle w:val="BodyText"/>
        <w:spacing w:before="2"/>
      </w:pPr>
    </w:p>
    <w:p>
      <w:pPr>
        <w:pStyle w:val="BodyText"/>
        <w:ind w:left="113" w:right="598"/>
      </w:pPr>
      <w:r>
        <w:rPr/>
        <w:t>‘You were right about evaporation forming clouds, but I think we need to explore a bit more about what you said about rain. Can anyone else help us?’</w:t>
      </w:r>
    </w:p>
    <w:p>
      <w:pPr>
        <w:pStyle w:val="BodyText"/>
        <w:spacing w:before="6"/>
      </w:pPr>
    </w:p>
    <w:p>
      <w:pPr>
        <w:pStyle w:val="Heading1"/>
      </w:pPr>
      <w:r>
        <w:rPr>
          <w:color w:val="A83625"/>
        </w:rPr>
        <w:t>Improving the quality of responses</w:t>
      </w:r>
    </w:p>
    <w:p>
      <w:pPr>
        <w:pStyle w:val="BodyText"/>
        <w:spacing w:before="281"/>
        <w:ind w:left="113" w:right="225"/>
      </w:pPr>
      <w:r>
        <w:rPr/>
        <w:t>Helping pupils to think more deeply and improve the quality of their answers is a crucial part of your role. To help pupils achieve more, you need to be able to:</w:t>
      </w:r>
    </w:p>
    <w:p>
      <w:pPr>
        <w:spacing w:after="0"/>
        <w:sectPr>
          <w:headerReference w:type="default" r:id="rId5"/>
          <w:footerReference w:type="default" r:id="rId6"/>
          <w:type w:val="continuous"/>
          <w:pgSz w:w="11910" w:h="16840"/>
          <w:pgMar w:header="204" w:footer="956" w:top="1080" w:bottom="1140" w:left="760" w:right="800"/>
          <w:pgNumType w:start="1"/>
        </w:sectPr>
      </w:pPr>
    </w:p>
    <w:p>
      <w:pPr>
        <w:pStyle w:val="ListParagraph"/>
        <w:numPr>
          <w:ilvl w:val="0"/>
          <w:numId w:val="1"/>
        </w:numPr>
        <w:tabs>
          <w:tab w:pos="833" w:val="left" w:leader="none"/>
          <w:tab w:pos="834" w:val="left" w:leader="none"/>
        </w:tabs>
        <w:spacing w:line="240" w:lineRule="auto" w:before="82" w:after="0"/>
        <w:ind w:left="833" w:right="0" w:hanging="301"/>
        <w:jc w:val="left"/>
        <w:rPr>
          <w:sz w:val="24"/>
        </w:rPr>
      </w:pPr>
      <w:r>
        <w:rPr>
          <w:sz w:val="24"/>
        </w:rPr>
        <w:t>prompt;</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probe to seek</w:t>
      </w:r>
      <w:r>
        <w:rPr>
          <w:spacing w:val="-1"/>
          <w:sz w:val="24"/>
        </w:rPr>
        <w:t> </w:t>
      </w:r>
      <w:r>
        <w:rPr>
          <w:sz w:val="24"/>
        </w:rPr>
        <w:t>clarification;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build on answers by</w:t>
      </w:r>
      <w:r>
        <w:rPr>
          <w:spacing w:val="1"/>
          <w:sz w:val="24"/>
        </w:rPr>
        <w:t> </w:t>
      </w:r>
      <w:r>
        <w:rPr>
          <w:sz w:val="24"/>
        </w:rPr>
        <w:t>refocusing;</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sequence questions in a way that extends</w:t>
      </w:r>
      <w:r>
        <w:rPr>
          <w:spacing w:val="-9"/>
          <w:sz w:val="24"/>
        </w:rPr>
        <w:t> </w:t>
      </w:r>
      <w:r>
        <w:rPr>
          <w:sz w:val="24"/>
        </w:rPr>
        <w:t>thinking;</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listen very carefully to pupil answers in order to ask the right</w:t>
      </w:r>
      <w:r>
        <w:rPr>
          <w:spacing w:val="-17"/>
          <w:sz w:val="24"/>
        </w:rPr>
        <w:t> </w:t>
      </w:r>
      <w:r>
        <w:rPr>
          <w:sz w:val="24"/>
        </w:rPr>
        <w:t>question.</w:t>
      </w:r>
    </w:p>
    <w:p>
      <w:pPr>
        <w:pStyle w:val="BodyText"/>
        <w:spacing w:before="5"/>
      </w:pPr>
    </w:p>
    <w:p>
      <w:pPr>
        <w:pStyle w:val="BodyText"/>
        <w:ind w:left="113" w:right="131"/>
      </w:pPr>
      <w:r>
        <w:rPr/>
        <w:t>Prompting is about adding hints that help pupils develop and improve their answers. Begin by choosing what is right in the answer and offering information, further questions and other clues. (‘So what would happen if you added a weight to the end of your paper aeroplane?’)</w:t>
      </w:r>
    </w:p>
    <w:p>
      <w:pPr>
        <w:pStyle w:val="BodyText"/>
        <w:spacing w:before="2"/>
      </w:pPr>
    </w:p>
    <w:p>
      <w:pPr>
        <w:pStyle w:val="BodyText"/>
        <w:ind w:left="113" w:right="158"/>
      </w:pPr>
      <w:r>
        <w:rPr/>
        <w:t>Probing is about trying to find out more, helping pupils clarify what they are trying to say to improve a disorganised answer or one that is partly right. (‘So what more can you tell me about how this fits together?’)</w:t>
      </w:r>
    </w:p>
    <w:p>
      <w:pPr>
        <w:pStyle w:val="BodyText"/>
        <w:spacing w:before="5"/>
      </w:pPr>
    </w:p>
    <w:p>
      <w:pPr>
        <w:pStyle w:val="BodyText"/>
        <w:ind w:left="113" w:right="117"/>
      </w:pPr>
      <w:r>
        <w:rPr/>
        <w:t>Refocusing is about building on correct answers to link pupils’ knowledge to knowledge they have previously learned. This broadens their understanding. (‘That is good. But how does it link with what we were looking at last week in our local environment topic?’)</w:t>
      </w:r>
    </w:p>
    <w:p>
      <w:pPr>
        <w:pStyle w:val="BodyText"/>
        <w:spacing w:before="5"/>
      </w:pPr>
    </w:p>
    <w:p>
      <w:pPr>
        <w:pStyle w:val="BodyText"/>
        <w:ind w:left="113" w:right="144"/>
      </w:pPr>
      <w:r>
        <w:rPr/>
        <w:t>Sequencing questions means asking questions in a certain order to extend thinking. Here, your intention is to lead pupils to summarise, compare, explain or analyse. This means you must have questions ready that stretch pupils, but not so far that they lose the meaning of the questions. (‘Explain how you overcame your earlier problem. What difference did that make?</w:t>
      </w:r>
    </w:p>
    <w:p>
      <w:pPr>
        <w:pStyle w:val="BodyText"/>
        <w:spacing w:line="274" w:lineRule="exact"/>
        <w:ind w:left="113"/>
      </w:pPr>
      <w:r>
        <w:rPr/>
        <w:t>What do you think you need to tackle next?’)</w:t>
      </w:r>
    </w:p>
    <w:p>
      <w:pPr>
        <w:pStyle w:val="BodyText"/>
        <w:spacing w:before="5"/>
      </w:pPr>
    </w:p>
    <w:p>
      <w:pPr>
        <w:pStyle w:val="BodyText"/>
        <w:ind w:left="113" w:right="104"/>
      </w:pPr>
      <w:r>
        <w:rPr/>
        <w:t>Listening enables you not just to look for the answer you are expecting, but to alert you to unusual or innovative answers that you may not have expected. Such answers could highlight misconceptions that need correcting, or they may show a new approach that you had not considered. Your response to these could be very important in maintaining motivation. (‘I hadn’t thought of that. Tell me more why you think that way.’)</w:t>
      </w:r>
    </w:p>
    <w:p>
      <w:pPr>
        <w:pStyle w:val="BodyText"/>
        <w:spacing w:before="6"/>
      </w:pPr>
    </w:p>
    <w:p>
      <w:pPr>
        <w:pStyle w:val="Heading1"/>
      </w:pPr>
      <w:r>
        <w:rPr>
          <w:color w:val="A83625"/>
        </w:rPr>
        <w:t>Common mistakes in questioning</w:t>
      </w:r>
    </w:p>
    <w:p>
      <w:pPr>
        <w:pStyle w:val="BodyText"/>
        <w:spacing w:before="278"/>
        <w:ind w:left="113" w:right="572"/>
      </w:pPr>
      <w:r>
        <w:rPr/>
        <w:t>It is often said that ‘questions are only as good as the answers they get’. Common errors in questioning, which discourage pupils from offering answers or participating, are:</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asking too many questions at once;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asking a question and answering it</w:t>
      </w:r>
      <w:r>
        <w:rPr>
          <w:spacing w:val="-3"/>
          <w:sz w:val="24"/>
        </w:rPr>
        <w:t> </w:t>
      </w:r>
      <w:r>
        <w:rPr>
          <w:sz w:val="24"/>
        </w:rPr>
        <w:t>yourself;</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asking a difficult question too</w:t>
      </w:r>
      <w:r>
        <w:rPr>
          <w:spacing w:val="-3"/>
          <w:sz w:val="24"/>
        </w:rPr>
        <w:t> </w:t>
      </w:r>
      <w:r>
        <w:rPr>
          <w:sz w:val="24"/>
        </w:rPr>
        <w:t>early;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always asking the same type of</w:t>
      </w:r>
      <w:r>
        <w:rPr>
          <w:spacing w:val="-2"/>
          <w:sz w:val="24"/>
        </w:rPr>
        <w:t> </w:t>
      </w:r>
      <w:r>
        <w:rPr>
          <w:sz w:val="24"/>
        </w:rPr>
        <w:t>question;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asking a question in a threatening</w:t>
      </w:r>
      <w:r>
        <w:rPr>
          <w:spacing w:val="-2"/>
          <w:sz w:val="24"/>
        </w:rPr>
        <w:t> </w:t>
      </w:r>
      <w:r>
        <w:rPr>
          <w:sz w:val="24"/>
        </w:rPr>
        <w:t>way;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not using probing</w:t>
      </w:r>
      <w:r>
        <w:rPr>
          <w:spacing w:val="-3"/>
          <w:sz w:val="24"/>
        </w:rPr>
        <w:t> </w:t>
      </w:r>
      <w:r>
        <w:rPr>
          <w:sz w:val="24"/>
        </w:rPr>
        <w:t>questions;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not giving pupils enough time to</w:t>
      </w:r>
      <w:r>
        <w:rPr>
          <w:spacing w:val="-2"/>
          <w:sz w:val="24"/>
        </w:rPr>
        <w:t> </w:t>
      </w:r>
      <w:r>
        <w:rPr>
          <w:sz w:val="24"/>
        </w:rPr>
        <w:t>think;</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ignoring</w:t>
      </w:r>
      <w:r>
        <w:rPr>
          <w:spacing w:val="-2"/>
          <w:sz w:val="24"/>
        </w:rPr>
        <w:t> </w:t>
      </w:r>
      <w:r>
        <w:rPr>
          <w:sz w:val="24"/>
        </w:rPr>
        <w:t>answers;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not correcting wrong</w:t>
      </w:r>
      <w:r>
        <w:rPr>
          <w:spacing w:val="-1"/>
          <w:sz w:val="24"/>
        </w:rPr>
        <w:t> </w:t>
      </w:r>
      <w:r>
        <w:rPr>
          <w:sz w:val="24"/>
        </w:rPr>
        <w:t>answers;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failing to see the implications of</w:t>
      </w:r>
      <w:r>
        <w:rPr>
          <w:spacing w:val="-4"/>
          <w:sz w:val="24"/>
        </w:rPr>
        <w:t> </w:t>
      </w:r>
      <w:r>
        <w:rPr>
          <w:sz w:val="24"/>
        </w:rPr>
        <w:t>answers;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failing to build on</w:t>
      </w:r>
      <w:r>
        <w:rPr>
          <w:spacing w:val="-1"/>
          <w:sz w:val="24"/>
        </w:rPr>
        <w:t> </w:t>
      </w:r>
      <w:r>
        <w:rPr>
          <w:sz w:val="24"/>
        </w:rPr>
        <w:t>answers.</w:t>
      </w:r>
    </w:p>
    <w:p>
      <w:pPr>
        <w:pStyle w:val="BodyText"/>
        <w:spacing w:before="2"/>
      </w:pPr>
    </w:p>
    <w:p>
      <w:pPr>
        <w:pStyle w:val="BodyText"/>
        <w:ind w:left="113" w:right="277"/>
      </w:pPr>
      <w:r>
        <w:rPr/>
        <w:t>If you do any of these, think about how you might adapt your approach and find ways of doing the opposite. Watch and see the improvement in pupil performance.</w:t>
      </w:r>
    </w:p>
    <w:p>
      <w:pPr>
        <w:spacing w:after="0"/>
        <w:sectPr>
          <w:pgSz w:w="11910" w:h="16840"/>
          <w:pgMar w:header="204" w:footer="956" w:top="1080" w:bottom="1140" w:left="760" w:right="80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16960"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15936"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14912"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13888"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7472">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498496">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44" w:hanging="300"/>
      </w:pPr>
      <w:rPr>
        <w:rFonts w:hint="default"/>
        <w:lang w:val="en-gb" w:eastAsia="en-gb" w:bidi="en-gb"/>
      </w:rPr>
    </w:lvl>
    <w:lvl w:ilvl="2">
      <w:start w:val="0"/>
      <w:numFmt w:val="bullet"/>
      <w:lvlText w:val="•"/>
      <w:lvlJc w:val="left"/>
      <w:pPr>
        <w:ind w:left="2789" w:hanging="300"/>
      </w:pPr>
      <w:rPr>
        <w:rFonts w:hint="default"/>
        <w:lang w:val="en-gb" w:eastAsia="en-gb" w:bidi="en-gb"/>
      </w:rPr>
    </w:lvl>
    <w:lvl w:ilvl="3">
      <w:start w:val="0"/>
      <w:numFmt w:val="bullet"/>
      <w:lvlText w:val="•"/>
      <w:lvlJc w:val="left"/>
      <w:pPr>
        <w:ind w:left="3733" w:hanging="300"/>
      </w:pPr>
      <w:rPr>
        <w:rFonts w:hint="default"/>
        <w:lang w:val="en-gb" w:eastAsia="en-gb" w:bidi="en-gb"/>
      </w:rPr>
    </w:lvl>
    <w:lvl w:ilvl="4">
      <w:start w:val="0"/>
      <w:numFmt w:val="bullet"/>
      <w:lvlText w:val="•"/>
      <w:lvlJc w:val="left"/>
      <w:pPr>
        <w:ind w:left="4678" w:hanging="300"/>
      </w:pPr>
      <w:rPr>
        <w:rFonts w:hint="default"/>
        <w:lang w:val="en-gb" w:eastAsia="en-gb" w:bidi="en-gb"/>
      </w:rPr>
    </w:lvl>
    <w:lvl w:ilvl="5">
      <w:start w:val="0"/>
      <w:numFmt w:val="bullet"/>
      <w:lvlText w:val="•"/>
      <w:lvlJc w:val="left"/>
      <w:pPr>
        <w:ind w:left="5623" w:hanging="300"/>
      </w:pPr>
      <w:rPr>
        <w:rFonts w:hint="default"/>
        <w:lang w:val="en-gb" w:eastAsia="en-gb" w:bidi="en-gb"/>
      </w:rPr>
    </w:lvl>
    <w:lvl w:ilvl="6">
      <w:start w:val="0"/>
      <w:numFmt w:val="bullet"/>
      <w:lvlText w:val="•"/>
      <w:lvlJc w:val="left"/>
      <w:pPr>
        <w:ind w:left="6567" w:hanging="300"/>
      </w:pPr>
      <w:rPr>
        <w:rFonts w:hint="default"/>
        <w:lang w:val="en-gb" w:eastAsia="en-gb" w:bidi="en-gb"/>
      </w:rPr>
    </w:lvl>
    <w:lvl w:ilvl="7">
      <w:start w:val="0"/>
      <w:numFmt w:val="bullet"/>
      <w:lvlText w:val="•"/>
      <w:lvlJc w:val="left"/>
      <w:pPr>
        <w:ind w:left="7512" w:hanging="300"/>
      </w:pPr>
      <w:rPr>
        <w:rFonts w:hint="default"/>
        <w:lang w:val="en-gb" w:eastAsia="en-gb" w:bidi="en-gb"/>
      </w:rPr>
    </w:lvl>
    <w:lvl w:ilvl="8">
      <w:start w:val="0"/>
      <w:numFmt w:val="bullet"/>
      <w:lvlText w:val="•"/>
      <w:lvlJc w:val="left"/>
      <w:pPr>
        <w:ind w:left="8457"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33" w:hanging="30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2020-03-11T11:55:46Z</dcterms:created>
  <dcterms:modified xsi:type="dcterms:W3CDTF">2020-03-11T11:55:46Z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