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B817A" w14:textId="77777777" w:rsidR="00347DAB" w:rsidRDefault="00347DAB" w:rsidP="00347DAB">
      <w:pPr>
        <w:spacing w:before="89"/>
        <w:ind w:left="113" w:right="1432"/>
        <w:rPr>
          <w:b/>
          <w:sz w:val="32"/>
        </w:rPr>
      </w:pPr>
      <w:r>
        <w:rPr>
          <w:b/>
          <w:color w:val="A83625"/>
          <w:sz w:val="32"/>
        </w:rPr>
        <w:t>Key Resource: Being a resourceful secondary teacher in challenging circumstances</w:t>
      </w:r>
    </w:p>
    <w:p w14:paraId="25F310D8" w14:textId="77777777" w:rsidR="00347DAB" w:rsidRPr="00347DAB" w:rsidRDefault="00347DAB" w:rsidP="00347DAB">
      <w:pPr>
        <w:pStyle w:val="BodyText"/>
        <w:spacing w:before="280"/>
        <w:ind w:left="113" w:right="91"/>
        <w:rPr>
          <w:sz w:val="22"/>
          <w:szCs w:val="22"/>
        </w:rPr>
      </w:pPr>
      <w:r w:rsidRPr="00347DAB">
        <w:rPr>
          <w:sz w:val="22"/>
          <w:szCs w:val="22"/>
        </w:rPr>
        <w:t>Many teachers work in difficult contexts. They may have large classes. They may have few resources. The pupils in these contexts are not likely to have resources at home to compensate for limited school resources.</w:t>
      </w:r>
    </w:p>
    <w:p w14:paraId="78D9FB1E" w14:textId="77777777" w:rsidR="00347DAB" w:rsidRPr="00347DAB" w:rsidRDefault="00347DAB" w:rsidP="00347DAB">
      <w:pPr>
        <w:pStyle w:val="BodyText"/>
        <w:spacing w:before="5"/>
        <w:rPr>
          <w:sz w:val="22"/>
          <w:szCs w:val="22"/>
        </w:rPr>
      </w:pPr>
    </w:p>
    <w:p w14:paraId="5D83A722" w14:textId="77777777" w:rsidR="00347DAB" w:rsidRPr="00347DAB" w:rsidRDefault="00347DAB" w:rsidP="00347DAB">
      <w:pPr>
        <w:pStyle w:val="BodyText"/>
        <w:ind w:left="113" w:right="412"/>
        <w:rPr>
          <w:sz w:val="22"/>
          <w:szCs w:val="22"/>
        </w:rPr>
      </w:pPr>
      <w:r w:rsidRPr="00347DAB">
        <w:rPr>
          <w:sz w:val="22"/>
          <w:szCs w:val="22"/>
        </w:rPr>
        <w:t>A group of teachers working in such circumstances recently brainstormed suggestions about how to be resourceful despite such difficult conditions. They came up with many ideas and decided that the following seven were most useful:</w:t>
      </w:r>
    </w:p>
    <w:p w14:paraId="1EAF994C" w14:textId="77777777" w:rsidR="00347DAB" w:rsidRPr="00347DAB" w:rsidRDefault="00347DAB" w:rsidP="00347DAB">
      <w:pPr>
        <w:pStyle w:val="BodyText"/>
        <w:spacing w:before="2"/>
        <w:rPr>
          <w:sz w:val="22"/>
          <w:szCs w:val="22"/>
        </w:rPr>
      </w:pPr>
    </w:p>
    <w:p w14:paraId="5198B932" w14:textId="77777777" w:rsidR="00347DAB" w:rsidRPr="00347DAB" w:rsidRDefault="00347DAB" w:rsidP="00347DAB">
      <w:pPr>
        <w:pStyle w:val="ListParagraph"/>
        <w:numPr>
          <w:ilvl w:val="0"/>
          <w:numId w:val="1"/>
        </w:numPr>
        <w:tabs>
          <w:tab w:val="left" w:pos="834"/>
        </w:tabs>
        <w:ind w:right="997" w:hanging="360"/>
        <w:jc w:val="both"/>
      </w:pPr>
      <w:r w:rsidRPr="00347DAB">
        <w:t>Make maximum use of the local environment as a teaching aid. All schools have an environment that can be exploited for discussion, investigations and sources of classroom</w:t>
      </w:r>
      <w:r w:rsidRPr="00347DAB">
        <w:rPr>
          <w:spacing w:val="-2"/>
        </w:rPr>
        <w:t xml:space="preserve"> </w:t>
      </w:r>
      <w:r w:rsidRPr="00347DAB">
        <w:t>data.</w:t>
      </w:r>
    </w:p>
    <w:p w14:paraId="6B05A308" w14:textId="77777777" w:rsidR="00347DAB" w:rsidRPr="00347DAB" w:rsidRDefault="00347DAB" w:rsidP="00347DAB">
      <w:pPr>
        <w:pStyle w:val="ListParagraph"/>
        <w:numPr>
          <w:ilvl w:val="0"/>
          <w:numId w:val="1"/>
        </w:numPr>
        <w:tabs>
          <w:tab w:val="left" w:pos="833"/>
          <w:tab w:val="left" w:pos="834"/>
        </w:tabs>
        <w:ind w:right="864" w:hanging="360"/>
      </w:pPr>
      <w:r w:rsidRPr="00347DAB">
        <w:t>Make maximum use of the local community as a teaching aid. Parents and others are an important source for stories, for remembering what things were like in the past, and for having opinions on everyday</w:t>
      </w:r>
      <w:r w:rsidRPr="00347DAB">
        <w:rPr>
          <w:spacing w:val="-5"/>
        </w:rPr>
        <w:t xml:space="preserve"> </w:t>
      </w:r>
      <w:r w:rsidRPr="00347DAB">
        <w:t>issues.</w:t>
      </w:r>
    </w:p>
    <w:p w14:paraId="524C4B03" w14:textId="77777777" w:rsidR="00347DAB" w:rsidRPr="00347DAB" w:rsidRDefault="00347DAB" w:rsidP="00347DAB">
      <w:pPr>
        <w:pStyle w:val="ListParagraph"/>
        <w:numPr>
          <w:ilvl w:val="0"/>
          <w:numId w:val="1"/>
        </w:numPr>
        <w:tabs>
          <w:tab w:val="left" w:pos="833"/>
          <w:tab w:val="left" w:pos="834"/>
        </w:tabs>
        <w:ind w:right="976" w:hanging="360"/>
      </w:pPr>
      <w:r w:rsidRPr="00347DAB">
        <w:t>Exploit the communication systems currently in place. Nearly all communities now have access to radio, often with many channels available. Use the systems available to stimulate debate and</w:t>
      </w:r>
      <w:r w:rsidRPr="00347DAB">
        <w:rPr>
          <w:spacing w:val="-3"/>
        </w:rPr>
        <w:t xml:space="preserve"> </w:t>
      </w:r>
      <w:r w:rsidRPr="00347DAB">
        <w:t>discussion.</w:t>
      </w:r>
    </w:p>
    <w:p w14:paraId="53E69B83" w14:textId="77777777" w:rsidR="00347DAB" w:rsidRPr="00347DAB" w:rsidRDefault="00347DAB" w:rsidP="00347DAB">
      <w:pPr>
        <w:pStyle w:val="ListParagraph"/>
        <w:numPr>
          <w:ilvl w:val="0"/>
          <w:numId w:val="1"/>
        </w:numPr>
        <w:tabs>
          <w:tab w:val="left" w:pos="833"/>
          <w:tab w:val="left" w:pos="834"/>
        </w:tabs>
        <w:ind w:right="895" w:hanging="360"/>
      </w:pPr>
      <w:r w:rsidRPr="00347DAB">
        <w:t>Make teaching aids from materials around the school. Old boxes, magazines, newspapers and even plastic bottles can be turned into teaching aids (one of the teachers in the discussion group described how she had built a model of a volcano using such materials, the model could be opened out to show the ‘inner workings’ of the volcano).</w:t>
      </w:r>
    </w:p>
    <w:p w14:paraId="50E8E03B" w14:textId="77777777" w:rsidR="00347DAB" w:rsidRPr="00347DAB" w:rsidRDefault="00347DAB" w:rsidP="00347DAB">
      <w:pPr>
        <w:pStyle w:val="ListParagraph"/>
        <w:numPr>
          <w:ilvl w:val="0"/>
          <w:numId w:val="1"/>
        </w:numPr>
        <w:tabs>
          <w:tab w:val="left" w:pos="833"/>
          <w:tab w:val="left" w:pos="834"/>
        </w:tabs>
        <w:spacing w:before="1"/>
        <w:ind w:right="1307" w:hanging="360"/>
      </w:pPr>
      <w:r w:rsidRPr="00347DAB">
        <w:t xml:space="preserve">Cooperate with other schools, directly or by exchange of letters. This can be highly motivating for pupils and it </w:t>
      </w:r>
      <w:proofErr w:type="gramStart"/>
      <w:r w:rsidRPr="00347DAB">
        <w:t>opens up</w:t>
      </w:r>
      <w:proofErr w:type="gramEnd"/>
      <w:r w:rsidRPr="00347DAB">
        <w:t xml:space="preserve"> all sorts of possible exchanges of information (for example, exchanges of information between urban and rural schools can lead to interesting</w:t>
      </w:r>
      <w:r w:rsidRPr="00347DAB">
        <w:rPr>
          <w:spacing w:val="1"/>
        </w:rPr>
        <w:t xml:space="preserve"> </w:t>
      </w:r>
      <w:r w:rsidRPr="00347DAB">
        <w:t>comparisons).</w:t>
      </w:r>
    </w:p>
    <w:p w14:paraId="10EF2A01" w14:textId="77777777" w:rsidR="00347DAB" w:rsidRPr="00347DAB" w:rsidRDefault="00347DAB" w:rsidP="00347DAB">
      <w:pPr>
        <w:pStyle w:val="ListParagraph"/>
        <w:numPr>
          <w:ilvl w:val="0"/>
          <w:numId w:val="1"/>
        </w:numPr>
        <w:tabs>
          <w:tab w:val="left" w:pos="833"/>
          <w:tab w:val="left" w:pos="834"/>
        </w:tabs>
        <w:ind w:hanging="360"/>
      </w:pPr>
      <w:r w:rsidRPr="00347DAB">
        <w:t>Let the school become a resource for the local community: one teacher described how mothers joined in the reading classes and thus improved their own</w:t>
      </w:r>
      <w:r w:rsidRPr="00347DAB">
        <w:rPr>
          <w:spacing w:val="-29"/>
        </w:rPr>
        <w:t xml:space="preserve"> </w:t>
      </w:r>
      <w:r w:rsidRPr="00347DAB">
        <w:t>literacy.</w:t>
      </w:r>
    </w:p>
    <w:p w14:paraId="09484AC2" w14:textId="6528C4AE" w:rsidR="00347DAB" w:rsidRPr="00407E93" w:rsidRDefault="00347DAB" w:rsidP="00347DAB">
      <w:pPr>
        <w:pStyle w:val="ListParagraph"/>
        <w:numPr>
          <w:ilvl w:val="0"/>
          <w:numId w:val="1"/>
        </w:numPr>
        <w:tabs>
          <w:tab w:val="left" w:pos="833"/>
          <w:tab w:val="left" w:pos="834"/>
        </w:tabs>
        <w:ind w:right="1185" w:hanging="360"/>
      </w:pPr>
      <w:r w:rsidRPr="00347DAB">
        <w:t>Set up a school garden: plants can be grown in even a small area. Pupils of all ages can benefit from participating in the planning, planting, growing and use stages in the development of a</w:t>
      </w:r>
      <w:r w:rsidRPr="00347DAB">
        <w:rPr>
          <w:spacing w:val="-6"/>
        </w:rPr>
        <w:t xml:space="preserve"> </w:t>
      </w:r>
      <w:r w:rsidRPr="00347DAB">
        <w:t>garden.</w:t>
      </w:r>
      <w:bookmarkStart w:id="0" w:name="_GoBack"/>
      <w:bookmarkEnd w:id="0"/>
    </w:p>
    <w:p w14:paraId="3568A4E2" w14:textId="77777777" w:rsidR="00347DAB" w:rsidRDefault="00347DAB" w:rsidP="00347DAB">
      <w:pPr>
        <w:pStyle w:val="Heading1"/>
        <w:rPr>
          <w:b/>
          <w:bCs/>
          <w:color w:val="C00000"/>
        </w:rPr>
      </w:pPr>
      <w:r w:rsidRPr="002B25BD">
        <w:rPr>
          <w:b/>
          <w:bCs/>
          <w:color w:val="C00000"/>
        </w:rPr>
        <w:t>Questions to consider</w:t>
      </w:r>
      <w:r>
        <w:rPr>
          <w:b/>
          <w:bCs/>
          <w:color w:val="C00000"/>
        </w:rPr>
        <w:t xml:space="preserve"> </w:t>
      </w:r>
    </w:p>
    <w:p w14:paraId="0A8A329E" w14:textId="77777777" w:rsidR="00347DAB" w:rsidRPr="002B25BD" w:rsidRDefault="00347DAB" w:rsidP="00347DAB">
      <w:r>
        <w:t xml:space="preserve">To answer these questions, think about a school you are familiar with. It might be one that you attended, or have visited on your course, or where you did/are going to do your teaching practice. </w:t>
      </w:r>
    </w:p>
    <w:p w14:paraId="72C499EF" w14:textId="77777777" w:rsidR="00347DAB" w:rsidRDefault="00347DAB" w:rsidP="00347DAB">
      <w:pPr>
        <w:pStyle w:val="ListParagraph"/>
        <w:numPr>
          <w:ilvl w:val="0"/>
          <w:numId w:val="2"/>
        </w:numPr>
      </w:pPr>
      <w:r>
        <w:t>In the context of your subject, make a list of ways in which you could use the school grounds or the immediate vicinity to enhance your teaching.</w:t>
      </w:r>
    </w:p>
    <w:p w14:paraId="7B524B0D" w14:textId="77777777" w:rsidR="00347DAB" w:rsidRDefault="00347DAB" w:rsidP="00347DAB">
      <w:pPr>
        <w:pStyle w:val="ListParagraph"/>
        <w:numPr>
          <w:ilvl w:val="0"/>
          <w:numId w:val="2"/>
        </w:numPr>
      </w:pPr>
      <w:r>
        <w:t>Make a list of any local experts you could invite into the classroom to talk to your classes. What preparations would you need to make for such a visit?</w:t>
      </w:r>
    </w:p>
    <w:p w14:paraId="4B6B1A9A" w14:textId="0D7F7264" w:rsidR="007810CB" w:rsidRDefault="00347DAB" w:rsidP="00347DAB">
      <w:pPr>
        <w:pStyle w:val="ListParagraph"/>
        <w:numPr>
          <w:ilvl w:val="0"/>
          <w:numId w:val="2"/>
        </w:numPr>
      </w:pPr>
      <w:r>
        <w:t xml:space="preserve">Make a list of resources that you could make from local materials to support your teaching. This might be a model to illustrate a point in science, or a poster, or something you could use in a lesson such as a bingo game, a set of cards with words and definitions that students </w:t>
      </w:r>
      <w:r w:rsidR="00407E93">
        <w:t>h</w:t>
      </w:r>
      <w:r>
        <w:t>ave to pair up, or a sequence of events written out on separate cards which students have to arrange in the correct order. Use the time before you go back to College to make some resources from old cereal packages and other materials.</w:t>
      </w:r>
    </w:p>
    <w:p w14:paraId="4CDB3ABD" w14:textId="5DC3630F" w:rsidR="00347DAB" w:rsidRDefault="00347DAB" w:rsidP="00347DAB">
      <w:pPr>
        <w:pStyle w:val="ListParagraph"/>
        <w:numPr>
          <w:ilvl w:val="0"/>
          <w:numId w:val="2"/>
        </w:numPr>
      </w:pPr>
      <w:r>
        <w:t xml:space="preserve">Look at the list above and note down any other strategies that you could use in your subject in your school. </w:t>
      </w:r>
    </w:p>
    <w:sectPr w:rsidR="00347DAB" w:rsidSect="00347DAB">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4A968" w14:textId="77777777" w:rsidR="00165EBD" w:rsidRDefault="00165EBD" w:rsidP="00347DAB">
      <w:r>
        <w:separator/>
      </w:r>
    </w:p>
  </w:endnote>
  <w:endnote w:type="continuationSeparator" w:id="0">
    <w:p w14:paraId="338BE6C7" w14:textId="77777777" w:rsidR="00165EBD" w:rsidRDefault="00165EBD" w:rsidP="00347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504D5" w14:textId="77777777" w:rsidR="00347DAB" w:rsidRDefault="00347DAB" w:rsidP="00347DAB">
    <w:pPr>
      <w:spacing w:before="14"/>
      <w:ind w:right="19"/>
      <w:jc w:val="right"/>
      <w:rPr>
        <w:sz w:val="18"/>
      </w:rPr>
    </w:pPr>
    <w:r>
      <w:rPr>
        <w:color w:val="A83625"/>
        <w:sz w:val="18"/>
      </w:rPr>
      <w:t xml:space="preserve">Creative Commons Attribution-Share Alike </w:t>
    </w:r>
    <w:hyperlink r:id="rId1">
      <w:r>
        <w:rPr>
          <w:color w:val="A83625"/>
          <w:sz w:val="18"/>
        </w:rPr>
        <w:t>-</w:t>
      </w:r>
      <w:r>
        <w:rPr>
          <w:color w:val="A83625"/>
          <w:spacing w:val="-26"/>
          <w:sz w:val="18"/>
        </w:rPr>
        <w:t xml:space="preserve"> </w:t>
      </w:r>
      <w:r>
        <w:rPr>
          <w:color w:val="A83625"/>
          <w:sz w:val="18"/>
        </w:rPr>
        <w:t>www.tessafrica.net</w:t>
      </w:r>
    </w:hyperlink>
  </w:p>
  <w:p w14:paraId="73D76366" w14:textId="656D89B1" w:rsidR="00347DAB" w:rsidRDefault="00347DAB" w:rsidP="00347DAB">
    <w:pPr>
      <w:ind w:left="2320"/>
      <w:rPr>
        <w:sz w:val="18"/>
      </w:rPr>
    </w:pPr>
    <w:r>
      <w:rPr>
        <w:color w:val="A83625"/>
        <w:sz w:val="18"/>
      </w:rPr>
      <w:t xml:space="preserve">                                                                                        TESSA ENGLISH, Key</w:t>
    </w:r>
    <w:r>
      <w:rPr>
        <w:color w:val="A83625"/>
        <w:spacing w:val="-8"/>
        <w:sz w:val="18"/>
      </w:rPr>
      <w:t xml:space="preserve"> </w:t>
    </w:r>
    <w:r>
      <w:rPr>
        <w:color w:val="A83625"/>
        <w:sz w:val="18"/>
      </w:rPr>
      <w:t>Resources</w:t>
    </w:r>
  </w:p>
  <w:p w14:paraId="7030B375" w14:textId="77777777" w:rsidR="00347DAB" w:rsidRDefault="00347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6AC4E" w14:textId="77777777" w:rsidR="00165EBD" w:rsidRDefault="00165EBD" w:rsidP="00347DAB">
      <w:r>
        <w:separator/>
      </w:r>
    </w:p>
  </w:footnote>
  <w:footnote w:type="continuationSeparator" w:id="0">
    <w:p w14:paraId="2D2AA531" w14:textId="77777777" w:rsidR="00165EBD" w:rsidRDefault="00165EBD" w:rsidP="00347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2D520" w14:textId="3AFA5041" w:rsidR="00347DAB" w:rsidRDefault="00347DAB">
    <w:pPr>
      <w:pStyle w:val="Header"/>
    </w:pPr>
    <w:r>
      <w:rPr>
        <w:noProof/>
      </w:rPr>
      <mc:AlternateContent>
        <mc:Choice Requires="wps">
          <w:drawing>
            <wp:anchor distT="45720" distB="45720" distL="114300" distR="114300" simplePos="0" relativeHeight="251659264" behindDoc="0" locked="0" layoutInCell="1" allowOverlap="1" wp14:anchorId="2FE5AA00" wp14:editId="0B3A0D93">
              <wp:simplePos x="0" y="0"/>
              <wp:positionH relativeFrom="margin">
                <wp:align>right</wp:align>
              </wp:positionH>
              <wp:positionV relativeFrom="paragraph">
                <wp:posOffset>-59690</wp:posOffset>
              </wp:positionV>
              <wp:extent cx="1024890" cy="61214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612140"/>
                      </a:xfrm>
                      <a:prstGeom prst="rect">
                        <a:avLst/>
                      </a:prstGeom>
                      <a:solidFill>
                        <a:srgbClr val="FFFFFF"/>
                      </a:solidFill>
                      <a:ln w="9525">
                        <a:noFill/>
                        <a:miter lim="800000"/>
                        <a:headEnd/>
                        <a:tailEnd/>
                      </a:ln>
                    </wps:spPr>
                    <wps:txbx>
                      <w:txbxContent>
                        <w:p w14:paraId="46ECA7AD" w14:textId="6B610803" w:rsidR="00347DAB" w:rsidRDefault="00347DAB">
                          <w:r>
                            <w:rPr>
                              <w:rFonts w:ascii="Times New Roman"/>
                              <w:noProof/>
                              <w:position w:val="14"/>
                              <w:sz w:val="20"/>
                            </w:rPr>
                            <w:drawing>
                              <wp:inline distT="0" distB="0" distL="0" distR="0" wp14:anchorId="09A3ECC0" wp14:editId="70BE2D48">
                                <wp:extent cx="695147" cy="47605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695147" cy="47605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E5AA00" id="_x0000_t202" coordsize="21600,21600" o:spt="202" path="m,l,21600r21600,l21600,xe">
              <v:stroke joinstyle="miter"/>
              <v:path gradientshapeok="t" o:connecttype="rect"/>
            </v:shapetype>
            <v:shape id="Text Box 2" o:spid="_x0000_s1026" type="#_x0000_t202" style="position:absolute;margin-left:29.5pt;margin-top:-4.7pt;width:80.7pt;height:48.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" stroked="f">
              <v:textbox>
                <w:txbxContent>
                  <w:p w14:paraId="46ECA7AD" w14:textId="6B610803" w:rsidR="00347DAB" w:rsidRDefault="00347DAB">
                    <w:r>
                      <w:rPr>
                        <w:rFonts w:ascii="Times New Roman"/>
                        <w:noProof/>
                        <w:position w:val="14"/>
                        <w:sz w:val="20"/>
                      </w:rPr>
                      <w:drawing>
                        <wp:inline distT="0" distB="0" distL="0" distR="0" wp14:anchorId="09A3ECC0" wp14:editId="70BE2D48">
                          <wp:extent cx="695147" cy="47605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695147" cy="476059"/>
                                  </a:xfrm>
                                  <a:prstGeom prst="rect">
                                    <a:avLst/>
                                  </a:prstGeom>
                                </pic:spPr>
                              </pic:pic>
                            </a:graphicData>
                          </a:graphic>
                        </wp:inline>
                      </w:drawing>
                    </w:r>
                  </w:p>
                </w:txbxContent>
              </v:textbox>
              <w10:wrap type="square" anchorx="margin"/>
            </v:shape>
          </w:pict>
        </mc:Fallback>
      </mc:AlternateContent>
    </w:r>
    <w:r>
      <w:rPr>
        <w:rFonts w:ascii="Times New Roman"/>
        <w:noProof/>
        <w:sz w:val="20"/>
      </w:rPr>
      <w:drawing>
        <wp:inline distT="0" distB="0" distL="0" distR="0" wp14:anchorId="39858672" wp14:editId="52839922">
          <wp:extent cx="1066556" cy="55549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1066556" cy="555498"/>
                  </a:xfrm>
                  <a:prstGeom prst="rect">
                    <a:avLst/>
                  </a:prstGeom>
                </pic:spPr>
              </pic:pic>
            </a:graphicData>
          </a:graphic>
        </wp:inline>
      </w:drawing>
    </w:r>
  </w:p>
  <w:p w14:paraId="23D0806F" w14:textId="77777777" w:rsidR="00347DAB" w:rsidRDefault="00347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E4733"/>
    <w:multiLevelType w:val="hybridMultilevel"/>
    <w:tmpl w:val="4D42665E"/>
    <w:lvl w:ilvl="0" w:tplc="8E6066EA">
      <w:numFmt w:val="bullet"/>
      <w:lvlText w:val=""/>
      <w:lvlJc w:val="left"/>
      <w:pPr>
        <w:ind w:left="893" w:hanging="300"/>
      </w:pPr>
      <w:rPr>
        <w:rFonts w:ascii="Symbol" w:eastAsia="Symbol" w:hAnsi="Symbol" w:cs="Symbol" w:hint="default"/>
        <w:w w:val="99"/>
        <w:sz w:val="20"/>
        <w:szCs w:val="20"/>
        <w:lang w:val="en-GB" w:eastAsia="en-GB" w:bidi="en-GB"/>
      </w:rPr>
    </w:lvl>
    <w:lvl w:ilvl="1" w:tplc="8FB225D0">
      <w:numFmt w:val="bullet"/>
      <w:lvlText w:val="•"/>
      <w:lvlJc w:val="left"/>
      <w:pPr>
        <w:ind w:left="1844" w:hanging="300"/>
      </w:pPr>
      <w:rPr>
        <w:rFonts w:hint="default"/>
        <w:lang w:val="en-GB" w:eastAsia="en-GB" w:bidi="en-GB"/>
      </w:rPr>
    </w:lvl>
    <w:lvl w:ilvl="2" w:tplc="FEA2456C">
      <w:numFmt w:val="bullet"/>
      <w:lvlText w:val="•"/>
      <w:lvlJc w:val="left"/>
      <w:pPr>
        <w:ind w:left="2789" w:hanging="300"/>
      </w:pPr>
      <w:rPr>
        <w:rFonts w:hint="default"/>
        <w:lang w:val="en-GB" w:eastAsia="en-GB" w:bidi="en-GB"/>
      </w:rPr>
    </w:lvl>
    <w:lvl w:ilvl="3" w:tplc="9EB4DEFA">
      <w:numFmt w:val="bullet"/>
      <w:lvlText w:val="•"/>
      <w:lvlJc w:val="left"/>
      <w:pPr>
        <w:ind w:left="3733" w:hanging="300"/>
      </w:pPr>
      <w:rPr>
        <w:rFonts w:hint="default"/>
        <w:lang w:val="en-GB" w:eastAsia="en-GB" w:bidi="en-GB"/>
      </w:rPr>
    </w:lvl>
    <w:lvl w:ilvl="4" w:tplc="B232A1FA">
      <w:numFmt w:val="bullet"/>
      <w:lvlText w:val="•"/>
      <w:lvlJc w:val="left"/>
      <w:pPr>
        <w:ind w:left="4678" w:hanging="300"/>
      </w:pPr>
      <w:rPr>
        <w:rFonts w:hint="default"/>
        <w:lang w:val="en-GB" w:eastAsia="en-GB" w:bidi="en-GB"/>
      </w:rPr>
    </w:lvl>
    <w:lvl w:ilvl="5" w:tplc="695EA992">
      <w:numFmt w:val="bullet"/>
      <w:lvlText w:val="•"/>
      <w:lvlJc w:val="left"/>
      <w:pPr>
        <w:ind w:left="5623" w:hanging="300"/>
      </w:pPr>
      <w:rPr>
        <w:rFonts w:hint="default"/>
        <w:lang w:val="en-GB" w:eastAsia="en-GB" w:bidi="en-GB"/>
      </w:rPr>
    </w:lvl>
    <w:lvl w:ilvl="6" w:tplc="C22C884E">
      <w:numFmt w:val="bullet"/>
      <w:lvlText w:val="•"/>
      <w:lvlJc w:val="left"/>
      <w:pPr>
        <w:ind w:left="6567" w:hanging="300"/>
      </w:pPr>
      <w:rPr>
        <w:rFonts w:hint="default"/>
        <w:lang w:val="en-GB" w:eastAsia="en-GB" w:bidi="en-GB"/>
      </w:rPr>
    </w:lvl>
    <w:lvl w:ilvl="7" w:tplc="BF4A2E00">
      <w:numFmt w:val="bullet"/>
      <w:lvlText w:val="•"/>
      <w:lvlJc w:val="left"/>
      <w:pPr>
        <w:ind w:left="7512" w:hanging="300"/>
      </w:pPr>
      <w:rPr>
        <w:rFonts w:hint="default"/>
        <w:lang w:val="en-GB" w:eastAsia="en-GB" w:bidi="en-GB"/>
      </w:rPr>
    </w:lvl>
    <w:lvl w:ilvl="8" w:tplc="1E061080">
      <w:numFmt w:val="bullet"/>
      <w:lvlText w:val="•"/>
      <w:lvlJc w:val="left"/>
      <w:pPr>
        <w:ind w:left="8457" w:hanging="300"/>
      </w:pPr>
      <w:rPr>
        <w:rFonts w:hint="default"/>
        <w:lang w:val="en-GB" w:eastAsia="en-GB" w:bidi="en-GB"/>
      </w:rPr>
    </w:lvl>
  </w:abstractNum>
  <w:abstractNum w:abstractNumId="1" w15:restartNumberingAfterBreak="0">
    <w:nsid w:val="4F8A1F23"/>
    <w:multiLevelType w:val="hybridMultilevel"/>
    <w:tmpl w:val="5C20AA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DAB"/>
    <w:rsid w:val="000F60F9"/>
    <w:rsid w:val="00116D41"/>
    <w:rsid w:val="00165EBD"/>
    <w:rsid w:val="00347DAB"/>
    <w:rsid w:val="00407E93"/>
    <w:rsid w:val="00EF4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9FA6A"/>
  <w15:chartTrackingRefBased/>
  <w15:docId w15:val="{999C3F06-9F7C-4983-8C09-D81A2DC6B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47DAB"/>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next w:val="Normal"/>
    <w:link w:val="Heading1Char"/>
    <w:uiPriority w:val="9"/>
    <w:qFormat/>
    <w:rsid w:val="00347DA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DAB"/>
    <w:rPr>
      <w:rFonts w:asciiTheme="majorHAnsi" w:eastAsiaTheme="majorEastAsia" w:hAnsiTheme="majorHAnsi" w:cstheme="majorBidi"/>
      <w:color w:val="2F5496" w:themeColor="accent1" w:themeShade="BF"/>
      <w:sz w:val="32"/>
      <w:szCs w:val="32"/>
      <w:lang w:eastAsia="en-GB" w:bidi="en-GB"/>
    </w:rPr>
  </w:style>
  <w:style w:type="paragraph" w:styleId="BodyText">
    <w:name w:val="Body Text"/>
    <w:basedOn w:val="Normal"/>
    <w:link w:val="BodyTextChar"/>
    <w:uiPriority w:val="1"/>
    <w:qFormat/>
    <w:rsid w:val="00347DAB"/>
    <w:rPr>
      <w:sz w:val="24"/>
      <w:szCs w:val="24"/>
    </w:rPr>
  </w:style>
  <w:style w:type="character" w:customStyle="1" w:styleId="BodyTextChar">
    <w:name w:val="Body Text Char"/>
    <w:basedOn w:val="DefaultParagraphFont"/>
    <w:link w:val="BodyText"/>
    <w:uiPriority w:val="1"/>
    <w:rsid w:val="00347DAB"/>
    <w:rPr>
      <w:rFonts w:ascii="Arial" w:eastAsia="Arial" w:hAnsi="Arial" w:cs="Arial"/>
      <w:sz w:val="24"/>
      <w:szCs w:val="24"/>
      <w:lang w:eastAsia="en-GB" w:bidi="en-GB"/>
    </w:rPr>
  </w:style>
  <w:style w:type="paragraph" w:styleId="ListParagraph">
    <w:name w:val="List Paragraph"/>
    <w:basedOn w:val="Normal"/>
    <w:uiPriority w:val="1"/>
    <w:qFormat/>
    <w:rsid w:val="00347DAB"/>
    <w:pPr>
      <w:ind w:left="893" w:right="849" w:hanging="360"/>
    </w:pPr>
  </w:style>
  <w:style w:type="paragraph" w:styleId="Header">
    <w:name w:val="header"/>
    <w:basedOn w:val="Normal"/>
    <w:link w:val="HeaderChar"/>
    <w:uiPriority w:val="99"/>
    <w:unhideWhenUsed/>
    <w:rsid w:val="00347DAB"/>
    <w:pPr>
      <w:tabs>
        <w:tab w:val="center" w:pos="4513"/>
        <w:tab w:val="right" w:pos="9026"/>
      </w:tabs>
    </w:pPr>
  </w:style>
  <w:style w:type="character" w:customStyle="1" w:styleId="HeaderChar">
    <w:name w:val="Header Char"/>
    <w:basedOn w:val="DefaultParagraphFont"/>
    <w:link w:val="Header"/>
    <w:uiPriority w:val="99"/>
    <w:rsid w:val="00347DAB"/>
    <w:rPr>
      <w:rFonts w:ascii="Arial" w:eastAsia="Arial" w:hAnsi="Arial" w:cs="Arial"/>
      <w:lang w:eastAsia="en-GB" w:bidi="en-GB"/>
    </w:rPr>
  </w:style>
  <w:style w:type="paragraph" w:styleId="Footer">
    <w:name w:val="footer"/>
    <w:basedOn w:val="Normal"/>
    <w:link w:val="FooterChar"/>
    <w:uiPriority w:val="99"/>
    <w:unhideWhenUsed/>
    <w:rsid w:val="00347DAB"/>
    <w:pPr>
      <w:tabs>
        <w:tab w:val="center" w:pos="4513"/>
        <w:tab w:val="right" w:pos="9026"/>
      </w:tabs>
    </w:pPr>
  </w:style>
  <w:style w:type="character" w:customStyle="1" w:styleId="FooterChar">
    <w:name w:val="Footer Char"/>
    <w:basedOn w:val="DefaultParagraphFont"/>
    <w:link w:val="Footer"/>
    <w:uiPriority w:val="99"/>
    <w:rsid w:val="00347DAB"/>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ssafrica.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Kris.Stutchbury</dc:creator>
  <cp:keywords/>
  <dc:description/>
  <cp:lastModifiedBy>Kris.Stutchbury</cp:lastModifiedBy>
  <cp:revision>2</cp:revision>
  <dcterms:created xsi:type="dcterms:W3CDTF">2020-05-15T09:05:00Z</dcterms:created>
  <dcterms:modified xsi:type="dcterms:W3CDTF">2020-05-15T09:16:00Z</dcterms:modified>
</cp:coreProperties>
</file>