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:rsidR="00B26D2F" w:rsidRDefault="00B26D2F">
      <w:pPr>
        <w:pStyle w:val="BodyText"/>
        <w:spacing w:before="8"/>
        <w:rPr>
          <w:b/>
          <w:sz w:val="36"/>
        </w:rPr>
      </w:pPr>
      <w:bookmarkStart w:id="0" w:name="_GoBack"/>
      <w:bookmarkEnd w:id="0"/>
    </w:p>
    <w:p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:rsidR="00B26D2F" w:rsidRDefault="00B26D2F">
      <w:pPr>
        <w:pStyle w:val="BodyText"/>
        <w:spacing w:before="3"/>
        <w:rPr>
          <w:sz w:val="16"/>
        </w:rPr>
      </w:pPr>
    </w:p>
    <w:p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49"/>
        <w:gridCol w:w="7411"/>
      </w:tblGrid>
      <w:tr w:rsidR="00B26D2F">
        <w:trPr>
          <w:trHeight w:val="2869"/>
        </w:trPr>
        <w:tc>
          <w:tcPr>
            <w:tcW w:w="1949" w:type="dxa"/>
          </w:tcPr>
          <w:p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:rsidR="00B26D2F" w:rsidRDefault="00A2200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869584" cy="173916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:rsidR="00CD05E2" w:rsidRPr="00CD05E2" w:rsidRDefault="00CD05E2" w:rsidP="00CD05E2">
            <w:pPr>
              <w:pStyle w:val="TableParagraph"/>
              <w:spacing w:before="105" w:line="249" w:lineRule="auto"/>
              <w:ind w:right="6025"/>
              <w:rPr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Name: </w:t>
            </w:r>
            <w:proofErr w:type="spellStart"/>
            <w:r w:rsidRPr="00CD05E2">
              <w:rPr>
                <w:w w:val="105"/>
                <w:sz w:val="21"/>
              </w:rPr>
              <w:t>Milika</w:t>
            </w:r>
            <w:proofErr w:type="spellEnd"/>
            <w:r w:rsidRPr="00CD05E2">
              <w:rPr>
                <w:w w:val="105"/>
                <w:sz w:val="21"/>
              </w:rPr>
              <w:t xml:space="preserve"> </w:t>
            </w:r>
            <w:proofErr w:type="spellStart"/>
            <w:r w:rsidRPr="00CD05E2">
              <w:rPr>
                <w:w w:val="105"/>
                <w:sz w:val="21"/>
              </w:rPr>
              <w:t>Phiri</w:t>
            </w:r>
            <w:proofErr w:type="spellEnd"/>
          </w:p>
          <w:p w:rsidR="00CD05E2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CD05E2" w:rsidRPr="00CD05E2">
              <w:rPr>
                <w:sz w:val="21"/>
              </w:rPr>
              <w:t>Female</w:t>
            </w:r>
            <w:r w:rsidR="00CD05E2" w:rsidRPr="00CD05E2">
              <w:rPr>
                <w:b/>
                <w:sz w:val="21"/>
              </w:rPr>
              <w:t xml:space="preserve"> </w:t>
            </w:r>
          </w:p>
          <w:p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CD05E2">
              <w:rPr>
                <w:b/>
                <w:w w:val="105"/>
                <w:sz w:val="21"/>
              </w:rPr>
              <w:t xml:space="preserve"> </w:t>
            </w:r>
            <w:r w:rsidR="00CD05E2" w:rsidRPr="00CD05E2">
              <w:rPr>
                <w:w w:val="105"/>
                <w:sz w:val="21"/>
              </w:rPr>
              <w:t>35</w:t>
            </w:r>
          </w:p>
          <w:p w:rsidR="00B26D2F" w:rsidRDefault="00CD05E2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in Chipata Zambia </w:t>
            </w:r>
            <w:r w:rsidR="00A22008">
              <w:rPr>
                <w:b/>
                <w:w w:val="105"/>
                <w:sz w:val="21"/>
              </w:rPr>
              <w:t xml:space="preserve">with </w:t>
            </w:r>
            <w:r>
              <w:rPr>
                <w:b/>
                <w:w w:val="105"/>
                <w:sz w:val="21"/>
              </w:rPr>
              <w:t>her husband and two children. She l</w:t>
            </w:r>
            <w:r w:rsidR="00A22008">
              <w:rPr>
                <w:b/>
                <w:w w:val="105"/>
                <w:sz w:val="21"/>
              </w:rPr>
              <w:t xml:space="preserve">ikes </w:t>
            </w:r>
            <w:r>
              <w:rPr>
                <w:b/>
                <w:w w:val="105"/>
                <w:sz w:val="21"/>
              </w:rPr>
              <w:t>interactive discussions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Milika</w:t>
            </w:r>
            <w:proofErr w:type="spellEnd"/>
            <w:r>
              <w:rPr>
                <w:rFonts w:ascii="Times New Roman"/>
                <w:sz w:val="20"/>
              </w:rPr>
              <w:t xml:space="preserve"> holds a degree in Biomedical Sciences. She was educated in a rural </w:t>
            </w:r>
            <w:proofErr w:type="gramStart"/>
            <w:r>
              <w:rPr>
                <w:rFonts w:ascii="Times New Roman"/>
                <w:sz w:val="20"/>
              </w:rPr>
              <w:t>area  and</w:t>
            </w:r>
            <w:proofErr w:type="gramEnd"/>
            <w:r>
              <w:rPr>
                <w:rFonts w:ascii="Times New Roman"/>
                <w:sz w:val="20"/>
              </w:rPr>
              <w:t xml:space="preserve"> have never experienced online learning. Actually, here geographical location has poor network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She is a mother and head of a biomedical laboratory at a busy local hospital. She sometimes works late up to 8 pm in the evening. </w:t>
            </w: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She has knowledge of zoom and other similar communication tools. She is also an experienced scientist</w:t>
            </w:r>
          </w:p>
        </w:tc>
      </w:tr>
      <w:tr w:rsidR="00B26D2F">
        <w:trPr>
          <w:trHeight w:val="959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Milika</w:t>
            </w:r>
            <w:proofErr w:type="spellEnd"/>
            <w:r>
              <w:rPr>
                <w:rFonts w:ascii="Times New Roman"/>
                <w:sz w:val="20"/>
              </w:rPr>
              <w:t xml:space="preserve"> has excellent listening abilities, analytical</w:t>
            </w:r>
            <w:proofErr w:type="gramStart"/>
            <w:r>
              <w:rPr>
                <w:rFonts w:ascii="Times New Roman"/>
                <w:sz w:val="20"/>
              </w:rPr>
              <w:t>,  and</w:t>
            </w:r>
            <w:proofErr w:type="gramEnd"/>
            <w:r>
              <w:rPr>
                <w:rFonts w:ascii="Times New Roman"/>
                <w:sz w:val="20"/>
              </w:rPr>
              <w:t xml:space="preserve"> adapts easily to new environments and activities.  She loves courses that are easily </w:t>
            </w:r>
            <w:proofErr w:type="gramStart"/>
            <w:r>
              <w:rPr>
                <w:rFonts w:ascii="Times New Roman"/>
                <w:sz w:val="20"/>
              </w:rPr>
              <w:t>accessible,</w:t>
            </w:r>
            <w:proofErr w:type="gramEnd"/>
            <w:r>
              <w:rPr>
                <w:rFonts w:ascii="Times New Roman"/>
                <w:sz w:val="20"/>
              </w:rPr>
              <w:t xml:space="preserve"> however, she has poor access to internet and has low internet skills. 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Here motivation is a better income through upgrading her skills and educational qualifications. She is determined to complete her education on time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Milikas</w:t>
            </w:r>
            <w:proofErr w:type="spellEnd"/>
            <w:r>
              <w:rPr>
                <w:rFonts w:ascii="Times New Roman"/>
                <w:sz w:val="20"/>
              </w:rPr>
              <w:t xml:space="preserve"> goals are to complete her education at all costs. She expected it to be tough but manageable with the support of her family</w:t>
            </w:r>
          </w:p>
        </w:tc>
      </w:tr>
      <w:tr w:rsidR="00B26D2F">
        <w:trPr>
          <w:trHeight w:val="70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Her goals for education are hampered by poor internet skills and poor access to the internet as well as a tight work schedule</w:t>
            </w:r>
          </w:p>
        </w:tc>
      </w:tr>
      <w:tr w:rsidR="00B26D2F">
        <w:trPr>
          <w:trHeight w:val="455"/>
        </w:trPr>
        <w:tc>
          <w:tcPr>
            <w:tcW w:w="1949" w:type="dxa"/>
          </w:tcPr>
          <w:p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:rsidR="00B26D2F" w:rsidRDefault="00CD05E2">
            <w:pPr>
              <w:pStyle w:val="TableParagraph"/>
              <w:ind w:left="0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Milika</w:t>
            </w:r>
            <w:proofErr w:type="spellEnd"/>
            <w:r>
              <w:rPr>
                <w:rFonts w:ascii="Times New Roman"/>
                <w:sz w:val="20"/>
              </w:rPr>
              <w:t xml:space="preserve"> brings her hard work and commitment </w:t>
            </w:r>
            <w:proofErr w:type="spellStart"/>
            <w:r>
              <w:rPr>
                <w:rFonts w:ascii="Times New Roman"/>
                <w:sz w:val="20"/>
              </w:rPr>
              <w:t>tp</w:t>
            </w:r>
            <w:proofErr w:type="spellEnd"/>
            <w:r>
              <w:rPr>
                <w:rFonts w:ascii="Times New Roman"/>
                <w:sz w:val="20"/>
              </w:rPr>
              <w:t xml:space="preserve"> the course</w:t>
            </w:r>
          </w:p>
        </w:tc>
      </w:tr>
    </w:tbl>
    <w:p w:rsidR="00CE74A9" w:rsidRDefault="00CE74A9"/>
    <w:sectPr w:rsidR="00CE74A9" w:rsidSect="00CE74A9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5B" w:rsidRDefault="007B065B" w:rsidP="00A22008">
      <w:r>
        <w:separator/>
      </w:r>
    </w:p>
  </w:endnote>
  <w:endnote w:type="continuationSeparator" w:id="0">
    <w:p w:rsidR="007B065B" w:rsidRDefault="007B065B" w:rsidP="00A2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5B" w:rsidRDefault="007B065B" w:rsidP="00A22008">
      <w:r>
        <w:separator/>
      </w:r>
    </w:p>
  </w:footnote>
  <w:footnote w:type="continuationSeparator" w:id="0">
    <w:p w:rsidR="007B065B" w:rsidRDefault="007B065B" w:rsidP="00A22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1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26D2F"/>
    <w:rsid w:val="007B065B"/>
    <w:rsid w:val="00A22008"/>
    <w:rsid w:val="00B26D2F"/>
    <w:rsid w:val="00CD05E2"/>
    <w:rsid w:val="00CE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74A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74A9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CE74A9"/>
  </w:style>
  <w:style w:type="paragraph" w:customStyle="1" w:styleId="TableParagraph">
    <w:name w:val="Table Paragraph"/>
    <w:basedOn w:val="Normal"/>
    <w:uiPriority w:val="1"/>
    <w:qFormat/>
    <w:rsid w:val="00CE74A9"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E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>The Open University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MUNJITA</dc:creator>
  <cp:lastModifiedBy>Samuel Munjita</cp:lastModifiedBy>
  <cp:revision>2</cp:revision>
  <dcterms:created xsi:type="dcterms:W3CDTF">2025-02-26T17:40:00Z</dcterms:created>
  <dcterms:modified xsi:type="dcterms:W3CDTF">2025-02-26T17:40:00Z</dcterms:modified>
</cp:coreProperties>
</file>