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Unit 2, Activity 2.1 Model answer:  Concept of Wellbeing as a care standard</w:t>
      </w:r>
    </w:p>
    <w:tbl>
      <w:tblPr>
        <w:tblStyle w:val="TableGrid"/>
        <w:tblW w:w="1417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6"/>
        <w:gridCol w:w="2587"/>
        <w:gridCol w:w="2541"/>
        <w:gridCol w:w="2523"/>
        <w:gridCol w:w="4077"/>
      </w:tblGrid>
      <w:tr>
        <w:trPr/>
        <w:tc>
          <w:tcPr>
            <w:tcW w:w="2446" w:type="dxa"/>
            <w:tcBorders/>
            <w:shd w:color="auto" w:fill="DAEEF3" w:themeFill="accent5" w:themeFillTint="33" w:val="clear"/>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2587" w:type="dxa"/>
            <w:tcBorders/>
            <w:shd w:color="auto" w:fill="DAEEF3" w:themeFill="accent5" w:themeFillTint="33" w:val="clear"/>
          </w:tcPr>
          <w:p>
            <w:pPr>
              <w:pStyle w:val="Normal"/>
              <w:widowControl/>
              <w:spacing w:lineRule="auto" w:line="240" w:before="0" w:after="0"/>
              <w:jc w:val="center"/>
              <w:rPr>
                <w:b/>
                <w:sz w:val="28"/>
                <w:szCs w:val="28"/>
              </w:rPr>
            </w:pPr>
            <w:r>
              <w:rPr>
                <w:rFonts w:eastAsia="Calibri" w:cs=""/>
                <w:b/>
                <w:kern w:val="0"/>
                <w:sz w:val="28"/>
                <w:szCs w:val="28"/>
                <w:lang w:val="en-GB" w:eastAsia="en-US" w:bidi="ar-SA"/>
              </w:rPr>
              <w:t>England</w:t>
            </w:r>
          </w:p>
        </w:tc>
        <w:tc>
          <w:tcPr>
            <w:tcW w:w="2541" w:type="dxa"/>
            <w:tcBorders/>
            <w:shd w:color="auto" w:fill="DAEEF3" w:themeFill="accent5" w:themeFillTint="33" w:val="clear"/>
          </w:tcPr>
          <w:p>
            <w:pPr>
              <w:pStyle w:val="Normal"/>
              <w:widowControl/>
              <w:spacing w:lineRule="auto" w:line="240" w:before="0" w:after="0"/>
              <w:jc w:val="center"/>
              <w:rPr>
                <w:b/>
                <w:sz w:val="28"/>
                <w:szCs w:val="28"/>
              </w:rPr>
            </w:pPr>
            <w:r>
              <w:rPr>
                <w:rFonts w:eastAsia="Calibri" w:cs=""/>
                <w:b/>
                <w:kern w:val="0"/>
                <w:sz w:val="28"/>
                <w:szCs w:val="28"/>
                <w:lang w:val="en-GB" w:eastAsia="en-US" w:bidi="ar-SA"/>
              </w:rPr>
              <w:t>Wales</w:t>
            </w:r>
          </w:p>
        </w:tc>
        <w:tc>
          <w:tcPr>
            <w:tcW w:w="2523" w:type="dxa"/>
            <w:tcBorders/>
            <w:shd w:color="auto" w:fill="DAEEF3" w:themeFill="accent5" w:themeFillTint="33" w:val="clear"/>
          </w:tcPr>
          <w:p>
            <w:pPr>
              <w:pStyle w:val="Normal"/>
              <w:widowControl/>
              <w:spacing w:lineRule="auto" w:line="240" w:before="0" w:after="0"/>
              <w:jc w:val="center"/>
              <w:rPr>
                <w:b/>
                <w:sz w:val="28"/>
                <w:szCs w:val="28"/>
              </w:rPr>
            </w:pPr>
            <w:r>
              <w:rPr>
                <w:rFonts w:eastAsia="Calibri" w:cs=""/>
                <w:b/>
                <w:kern w:val="0"/>
                <w:sz w:val="28"/>
                <w:szCs w:val="28"/>
                <w:lang w:val="en-GB" w:eastAsia="en-US" w:bidi="ar-SA"/>
              </w:rPr>
              <w:t>Northern Ireland</w:t>
            </w:r>
          </w:p>
        </w:tc>
        <w:tc>
          <w:tcPr>
            <w:tcW w:w="4077" w:type="dxa"/>
            <w:tcBorders/>
            <w:shd w:color="auto" w:fill="DAEEF3" w:themeFill="accent5" w:themeFillTint="33" w:val="clear"/>
          </w:tcPr>
          <w:p>
            <w:pPr>
              <w:pStyle w:val="Normal"/>
              <w:widowControl/>
              <w:spacing w:lineRule="auto" w:line="240" w:before="0" w:after="0"/>
              <w:jc w:val="center"/>
              <w:rPr>
                <w:b/>
                <w:sz w:val="28"/>
                <w:szCs w:val="28"/>
              </w:rPr>
            </w:pPr>
            <w:r>
              <w:rPr>
                <w:rFonts w:eastAsia="Calibri" w:cs=""/>
                <w:b/>
                <w:kern w:val="0"/>
                <w:sz w:val="28"/>
                <w:szCs w:val="28"/>
                <w:lang w:val="en-GB" w:eastAsia="en-US" w:bidi="ar-SA"/>
              </w:rPr>
              <w:t>Scotland</w:t>
            </w:r>
          </w:p>
        </w:tc>
      </w:tr>
      <w:tr>
        <w:trPr/>
        <w:tc>
          <w:tcPr>
            <w:tcW w:w="2446"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What are important regulations of wellbeing as a care standard?</w:t>
            </w:r>
          </w:p>
        </w:tc>
        <w:tc>
          <w:tcPr>
            <w:tcW w:w="2587" w:type="dxa"/>
            <w:tcBorders/>
          </w:tcPr>
          <w:p>
            <w:pPr>
              <w:pStyle w:val="Normal"/>
              <w:widowControl/>
              <w:spacing w:lineRule="auto" w:line="240" w:before="0" w:after="0"/>
              <w:jc w:val="left"/>
              <w:rPr>
                <w:rFonts w:ascii="Calibri" w:hAnsi="Calibri" w:eastAsia="Calibri" w:cs=""/>
                <w:kern w:val="0"/>
                <w:sz w:val="22"/>
                <w:szCs w:val="22"/>
                <w:lang w:val="en-GB" w:eastAsia="en-US" w:bidi="ar-SA"/>
              </w:rPr>
            </w:pPr>
            <w:hyperlink r:id="rId2">
              <w:r>
                <w:rPr>
                  <w:rStyle w:val="Hyperlink"/>
                  <w:rFonts w:eastAsia="Calibri" w:cs=""/>
                  <w:kern w:val="0"/>
                  <w:sz w:val="22"/>
                  <w:szCs w:val="22"/>
                  <w:lang w:val="en-GB" w:eastAsia="en-US" w:bidi="ar-SA"/>
                </w:rPr>
                <w:t>National Institute for Health and Care Excellence (NICE) guideline [NG32] Older people: independence and mental wellbeing</w:t>
              </w:r>
            </w:hyperlink>
          </w:p>
        </w:tc>
        <w:tc>
          <w:tcPr>
            <w:tcW w:w="2541" w:type="dxa"/>
            <w:tcBorders/>
          </w:tcPr>
          <w:p>
            <w:pPr>
              <w:pStyle w:val="Normal"/>
              <w:widowControl/>
              <w:spacing w:lineRule="auto" w:line="240" w:before="0" w:after="0"/>
              <w:jc w:val="left"/>
              <w:rPr>
                <w:rFonts w:ascii="Calibri" w:hAnsi="Calibri" w:eastAsia="Calibri" w:cs=""/>
                <w:kern w:val="0"/>
                <w:sz w:val="22"/>
                <w:szCs w:val="22"/>
                <w:lang w:val="en-GB" w:eastAsia="en-US" w:bidi="ar-SA"/>
              </w:rPr>
            </w:pPr>
            <w:hyperlink r:id="rId3">
              <w:r>
                <w:rPr>
                  <w:rStyle w:val="Hyperlink"/>
                  <w:rFonts w:eastAsia="Calibri" w:cs=""/>
                  <w:kern w:val="0"/>
                  <w:sz w:val="22"/>
                  <w:szCs w:val="22"/>
                  <w:lang w:val="en-GB" w:eastAsia="en-US" w:bidi="ar-SA"/>
                </w:rPr>
                <w:t>The Strategy for Older People in Wales 2013 – 2023</w:t>
              </w:r>
            </w:hyperlink>
          </w:p>
        </w:tc>
        <w:tc>
          <w:tcPr>
            <w:tcW w:w="2523" w:type="dxa"/>
            <w:tcBorders/>
          </w:tcPr>
          <w:p>
            <w:pPr>
              <w:pStyle w:val="Normal"/>
              <w:widowControl/>
              <w:spacing w:lineRule="auto" w:line="240" w:before="0" w:after="0"/>
              <w:jc w:val="left"/>
              <w:rPr>
                <w:rFonts w:ascii="Calibri" w:hAnsi="Calibri" w:eastAsia="Calibri" w:cs=""/>
                <w:kern w:val="0"/>
                <w:sz w:val="22"/>
                <w:szCs w:val="22"/>
                <w:lang w:val="en-GB" w:eastAsia="en-US" w:bidi="ar-SA"/>
              </w:rPr>
            </w:pPr>
            <w:hyperlink r:id="rId4">
              <w:r>
                <w:rPr>
                  <w:rStyle w:val="Hyperlink"/>
                  <w:rFonts w:eastAsia="Calibri" w:cs=""/>
                  <w:kern w:val="0"/>
                  <w:sz w:val="22"/>
                  <w:szCs w:val="22"/>
                  <w:lang w:val="en-GB" w:eastAsia="en-US" w:bidi="ar-SA"/>
                </w:rPr>
                <w:t>The Quality Standards for Health and Social Care</w:t>
              </w:r>
            </w:hyperlink>
          </w:p>
        </w:tc>
        <w:tc>
          <w:tcPr>
            <w:tcW w:w="4077" w:type="dxa"/>
            <w:tcBorders/>
          </w:tcPr>
          <w:p>
            <w:pPr>
              <w:pStyle w:val="Normal"/>
              <w:widowControl/>
              <w:spacing w:lineRule="auto" w:line="240" w:before="0" w:after="0"/>
              <w:jc w:val="left"/>
              <w:rPr>
                <w:rFonts w:ascii="Calibri" w:hAnsi="Calibri" w:eastAsia="Calibri" w:cs=""/>
                <w:kern w:val="0"/>
                <w:sz w:val="22"/>
                <w:szCs w:val="22"/>
                <w:lang w:val="en-GB" w:eastAsia="en-US" w:bidi="ar-SA"/>
              </w:rPr>
            </w:pPr>
            <w:hyperlink r:id="rId5">
              <w:r>
                <w:rPr>
                  <w:rStyle w:val="Hyperlink"/>
                  <w:rFonts w:eastAsia="Calibri" w:cs=""/>
                  <w:kern w:val="0"/>
                  <w:sz w:val="22"/>
                  <w:szCs w:val="22"/>
                  <w:lang w:val="en-GB" w:eastAsia="en-US" w:bidi="ar-SA"/>
                </w:rPr>
                <w:t>Health and Social Care Standards</w:t>
              </w:r>
            </w:hyperlink>
          </w:p>
          <w:p>
            <w:pPr>
              <w:pStyle w:val="Normal"/>
              <w:rPr/>
            </w:pPr>
            <w:r>
              <w:rPr/>
              <w:t>Information on Wellbeing as care principle features on pages 3 to 7 of this document.</w:t>
            </w:r>
          </w:p>
          <w:p>
            <w:pPr>
              <w:pStyle w:val="Normal"/>
              <w:widowControl/>
              <w:spacing w:lineRule="auto" w:line="240" w:before="0" w:after="0"/>
              <w:jc w:val="left"/>
              <w:rPr/>
            </w:pPr>
            <w:hyperlink r:id="rId6">
              <w:r>
                <w:rPr>
                  <w:rFonts w:eastAsia="Calibri" w:cs=""/>
                  <w:kern w:val="0"/>
                  <w:sz w:val="22"/>
                  <w:szCs w:val="22"/>
                  <w:lang w:val="en-GB" w:eastAsia="en-US" w:bidi="ar-SA"/>
                </w:rPr>
              </w:r>
            </w:hyperlink>
          </w:p>
        </w:tc>
      </w:tr>
      <w:tr>
        <w:trPr/>
        <w:tc>
          <w:tcPr>
            <w:tcW w:w="2446"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How is wellbeing described?</w:t>
            </w:r>
          </w:p>
        </w:tc>
        <w:tc>
          <w:tcPr>
            <w:tcW w:w="258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Think Local Act Personal (TLAP)  jargon buster:</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spacing w:lineRule="auto" w:line="240" w:before="0" w:after="0"/>
              <w:jc w:val="left"/>
              <w:rPr>
                <w:b/>
              </w:rPr>
            </w:pPr>
            <w:r>
              <w:fldChar w:fldCharType="begin"/>
            </w:r>
            <w:r>
              <w:rPr>
                <w:rStyle w:val="Hyperlink"/>
                <w:sz w:val="22"/>
                <w:b/>
                <w:kern w:val="0"/>
                <w:szCs w:val="22"/>
                <w:rFonts w:eastAsia="Calibri" w:cs=""/>
                <w:lang w:val="en-GB" w:eastAsia="en-US" w:bidi="ar-SA"/>
              </w:rPr>
              <w:instrText xml:space="preserve"> HYPERLINK "https://www.thinklocalactpersonal.org.uk/Browse/Informationandadvice/CareandSupportJargonBuster/" \l "Wellbeing"</w:instrText>
            </w:r>
            <w:r>
              <w:rPr>
                <w:rStyle w:val="Hyperlink"/>
                <w:sz w:val="22"/>
                <w:b/>
                <w:kern w:val="0"/>
                <w:szCs w:val="22"/>
                <w:rFonts w:eastAsia="Calibri" w:cs=""/>
                <w:lang w:val="en-GB" w:eastAsia="en-US" w:bidi="ar-SA"/>
              </w:rPr>
              <w:fldChar w:fldCharType="separate"/>
            </w:r>
            <w:r>
              <w:rPr>
                <w:rStyle w:val="Hyperlink"/>
                <w:rFonts w:eastAsia="Calibri" w:cs=""/>
                <w:b/>
                <w:kern w:val="0"/>
                <w:sz w:val="22"/>
                <w:szCs w:val="22"/>
                <w:lang w:val="en-GB" w:eastAsia="en-US" w:bidi="ar-SA"/>
              </w:rPr>
              <w:t>Wellbeing</w:t>
            </w:r>
            <w:r>
              <w:rPr>
                <w:rStyle w:val="Hyperlink"/>
                <w:sz w:val="22"/>
                <w:b/>
                <w:kern w:val="0"/>
                <w:szCs w:val="22"/>
                <w:rFonts w:eastAsia="Calibri" w:cs=""/>
                <w:lang w:val="en-GB" w:eastAsia="en-US" w:bidi="ar-SA"/>
              </w:rPr>
              <w:fldChar w:fldCharType="end"/>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Being in a position where you have good physical and mental health, control over your day-to-day life, good relationships, enough money, and the opportunity to take part in the activities that interest you.</w:t>
            </w:r>
          </w:p>
        </w:tc>
        <w:tc>
          <w:tcPr>
            <w:tcW w:w="2541"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Well-being is a broad concept. It includes factors such as how satisfied people are with their lives as a whole, autonomy (having a sense of control over your life), and purpose (having a sense of purpose in life). Building well-being and resilience is good for individuals and society, reducing dependence and improving overall health.</w:t>
            </w:r>
          </w:p>
        </w:tc>
        <w:tc>
          <w:tcPr>
            <w:tcW w:w="2523"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Individuals, families and carers have a major part to play in their own and their dependents’ health and social well-being. Although many factors influence the health and social wellbeing of individuals, many of these factors are societal issues and are outside the control of individuals</w:t>
            </w:r>
          </w:p>
        </w:tc>
        <w:tc>
          <w:tcPr>
            <w:tcW w:w="407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Wellbeing</w:t>
            </w:r>
          </w:p>
          <w:p>
            <w:pPr>
              <w:pStyle w:val="ListParagraph"/>
              <w:widowControl/>
              <w:numPr>
                <w:ilvl w:val="0"/>
                <w:numId w:val="2"/>
              </w:numPr>
              <w:spacing w:lineRule="auto" w:line="240" w:before="0" w:after="0"/>
              <w:contextualSpacing/>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asked about my lifestyle preferences and aspirations, and I am supported to achieve these.</w:t>
            </w:r>
          </w:p>
          <w:p>
            <w:pPr>
              <w:pStyle w:val="ListParagraph"/>
              <w:widowControl/>
              <w:numPr>
                <w:ilvl w:val="0"/>
                <w:numId w:val="2"/>
              </w:numPr>
              <w:spacing w:lineRule="auto" w:line="240" w:before="0" w:after="0"/>
              <w:contextualSpacing/>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encouraged and helped to achieve my full potential.</w:t>
            </w:r>
          </w:p>
          <w:p>
            <w:pPr>
              <w:pStyle w:val="ListParagraph"/>
              <w:widowControl/>
              <w:numPr>
                <w:ilvl w:val="0"/>
                <w:numId w:val="2"/>
              </w:numPr>
              <w:spacing w:lineRule="auto" w:line="240" w:before="0" w:after="0"/>
              <w:contextualSpacing/>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supported to make informed choices, even if this means I might be taking personal risks.</w:t>
            </w:r>
          </w:p>
          <w:p>
            <w:pPr>
              <w:pStyle w:val="ListParagraph"/>
              <w:widowControl/>
              <w:numPr>
                <w:ilvl w:val="0"/>
                <w:numId w:val="2"/>
              </w:numPr>
              <w:spacing w:lineRule="auto" w:line="240" w:before="0" w:after="0"/>
              <w:contextualSpacing/>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feel safe and I am protected from neglect, abuse, or avoidable harm.</w:t>
            </w:r>
          </w:p>
        </w:tc>
      </w:tr>
      <w:tr>
        <w:trPr/>
        <w:tc>
          <w:tcPr>
            <w:tcW w:w="2446"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What should I look out for?</w:t>
            </w:r>
          </w:p>
        </w:tc>
        <w:tc>
          <w:tcPr>
            <w:tcW w:w="258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Principles of good practice</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1.1.3 Ensure each activity:</w:t>
            </w:r>
          </w:p>
          <w:p>
            <w:pPr>
              <w:pStyle w:val="Normal"/>
              <w:widowControl/>
              <w:numPr>
                <w:ilvl w:val="0"/>
                <w:numId w:val="1"/>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includes a clear description of what is on offer</w:t>
            </w:r>
          </w:p>
          <w:p>
            <w:pPr>
              <w:pStyle w:val="Normal"/>
              <w:widowControl/>
              <w:numPr>
                <w:ilvl w:val="0"/>
                <w:numId w:val="1"/>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takes place at regular times and in a regular location</w:t>
            </w:r>
          </w:p>
          <w:p>
            <w:pPr>
              <w:pStyle w:val="Normal"/>
              <w:widowControl/>
              <w:numPr>
                <w:ilvl w:val="0"/>
                <w:numId w:val="1"/>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provides the opportunity to socialise</w:t>
            </w:r>
          </w:p>
          <w:p>
            <w:pPr>
              <w:pStyle w:val="Normal"/>
              <w:widowControl/>
              <w:numPr>
                <w:ilvl w:val="0"/>
                <w:numId w:val="1"/>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complements other activities that may support different aspects of older people's independence and mental wellbeing, such as their physical health, their sense of belonging to a community ('social connectedness') and their sense of purpose.</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1.5 Identifying those most at risk of a decline in their independence and mental wellbeing</w:t>
            </w:r>
          </w:p>
        </w:tc>
        <w:tc>
          <w:tcPr>
            <w:tcW w:w="2541"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Wellbeing is a central concept (see illustration on page ii).</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The concept of well-being is undeniably complex. This strategy takes the position that older people must have the resources they need to deal with the challenges they face, in order to achieve a sense of purpose and control in their lives. It is not enough to nullify disabling conditions; we must also create conditions in which all older people can flourish</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Good physical and mental health is an important contributor to individual well-being.</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The evidence shows that:</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Older adults who participate in social and leisure activities are more likely to say they feel well. Good social relationships are associated with positive health effects for the individual.</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Staying physically active protects health, and good physical health makes an important contribution to overall well-being.</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Being lonely or isolated has been associated with health problems and early death. The risks are significant, the same as smoking and twice that of obesity.</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Isolation causes depression and makes older people more vulnerable to abuse.</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xml:space="preserve">• </w:t>
            </w:r>
            <w:r>
              <w:rPr>
                <w:rFonts w:eastAsia="Calibri" w:cs=""/>
                <w:kern w:val="0"/>
                <w:sz w:val="22"/>
                <w:szCs w:val="22"/>
                <w:lang w:val="en-GB" w:eastAsia="en-US" w:bidi="ar-SA"/>
              </w:rPr>
              <w:t>The social aspect of eating is important and there is evidence that living alone is associated with poor diet.</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Older people play a crucial role in their communities – they engage in paid or volunteering work, transmit experience and knowledge, or carry out caring responsibilities within their families. These contributions can only be realised if their own health and well-being allows, and people are enabled to participate in their communities. Opportunities to be spontaneous, to have a day out, visit a friend or take part in leisure activities is also important for well-being. Environments and transport systems that enable, rather than disable, make an important contribution to individual feelings of well-being. As the number of older people in our communities is growing, and recognising the health and well-being benefits of social connectedness, it is vital that communities become more ‘age-friendly’ and facilitate the access and participation of people of all ages.</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It is vital that people are supported and encouraged to prepare appropriately for later life, and that they are given the right information and advice about the financial preparations they could make. Financial security is important at all stages of life but poverty in later life is specifically associated with high levels of social isolation, poor health, insufficient social care, poor housing and lack of access to good financial advice and support. In addition, older age is associated with reduced opportunities to escape poverty or financial hardship, for example through employment or retraining.</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2523"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Important criteria are:</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The organisation:</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a) has structures and processes in place to promote and implement effective partnership arrangements, to contribute to improvements in health and social well-being, and promote social inclusion and a reduction in inequalities;</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b) actively involves the services users and carers, the wider public, HPSS staff and the community and voluntary sectors, in the planning and development of local solutions to improve health and social well-being and to reduce inequalities;</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c) is committed to human rights, as identified in human rights legislation and United Nations Conventions, and to other Government policies aimed at tackling poverty, social need and the promotion of social inclusion;</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d) actively pursues equality screening and, where appropriate, equality impact assessment in compliance with section 75 of the Northern Ireland Act 1998; e) promotes ownership by service users, carers and communities to enable service users and the public to take responsibility for their own health, care and social well-being, and to participate as concerned citizens in promoting the health and social well-being of others;</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f) collects, collates, develops and uses health and social care information to assess current and future needs of local populations, taking account of health and social well-being inequalities;</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g) has effective and efficient emergency planning processes and co-ordinated response action plans in place, as appropriate, to deal with major incidents or emergency situations and their aftermath. The planning processes and action plans are compliant with Departmental guidance; h) has processes to engage with other organisations to reduce local environmental health hazards, as appropriate;</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has evidence-based chronic disease management programmes and health promotion programmes and, as appropriate, community development programmes, which take account of local and regional priorities and objectives;</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j) has systems to promote a healthier, safer, and “family friendly” workforce by providing advice, training, support and, as appropriate, services to support staff;</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k) has quality assured screening and immunisation programmes in place, as appropriate, and promotes active uptake among service users, carers and the public; l) uses annual public health and social care reports in the development of priorities and planning the provision and delivery of services; and m) provides opportunities for the use of volunteers, as appropriate.</w:t>
            </w:r>
          </w:p>
        </w:tc>
        <w:tc>
          <w:tcPr>
            <w:tcW w:w="4077" w:type="dxa"/>
            <w:tcBorders/>
          </w:tcPr>
          <w:p>
            <w:pPr>
              <w:pStyle w:val="Normal"/>
              <w:widowControl/>
              <w:spacing w:lineRule="auto" w:line="240" w:before="0" w:after="0"/>
              <w:jc w:val="left"/>
              <w:rPr>
                <w:bCs/>
              </w:rPr>
            </w:pPr>
            <w:r>
              <w:rPr>
                <w:rFonts w:eastAsia="Calibri" w:cs=""/>
                <w:bCs/>
                <w:kern w:val="0"/>
                <w:sz w:val="22"/>
                <w:szCs w:val="22"/>
                <w:lang w:val="en-GB" w:eastAsia="en-US" w:bidi="ar-SA"/>
              </w:rPr>
              <w:t>Principles</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bCs/>
                <w:kern w:val="0"/>
                <w:sz w:val="22"/>
                <w:szCs w:val="22"/>
                <w:lang w:val="en-GB" w:eastAsia="en-US" w:bidi="ar-SA"/>
              </w:rPr>
              <w:t>Dignity and respect</w:t>
            </w:r>
          </w:p>
          <w:p>
            <w:pPr>
              <w:pStyle w:val="Normal"/>
              <w:widowControl/>
              <w:numPr>
                <w:ilvl w:val="0"/>
                <w:numId w:val="3"/>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My human rights are respected and promoted.</w:t>
            </w:r>
          </w:p>
          <w:p>
            <w:pPr>
              <w:pStyle w:val="Normal"/>
              <w:widowControl/>
              <w:numPr>
                <w:ilvl w:val="0"/>
                <w:numId w:val="3"/>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respected and treated with dignity as an individual.</w:t>
            </w:r>
          </w:p>
          <w:p>
            <w:pPr>
              <w:pStyle w:val="Normal"/>
              <w:widowControl/>
              <w:numPr>
                <w:ilvl w:val="0"/>
                <w:numId w:val="3"/>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treated fairly and do not experience discrimination.</w:t>
            </w:r>
          </w:p>
          <w:p>
            <w:pPr>
              <w:pStyle w:val="Normal"/>
              <w:widowControl/>
              <w:numPr>
                <w:ilvl w:val="0"/>
                <w:numId w:val="3"/>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My privacy is respected.</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bCs/>
                <w:kern w:val="0"/>
                <w:sz w:val="22"/>
                <w:szCs w:val="22"/>
                <w:lang w:val="en-GB" w:eastAsia="en-US" w:bidi="ar-SA"/>
              </w:rPr>
              <w:t>Compassion</w:t>
            </w:r>
          </w:p>
          <w:p>
            <w:pPr>
              <w:pStyle w:val="Normal"/>
              <w:widowControl/>
              <w:numPr>
                <w:ilvl w:val="0"/>
                <w:numId w:val="4"/>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experience warm, compassionate and nurturing care and support.</w:t>
            </w:r>
          </w:p>
          <w:p>
            <w:pPr>
              <w:pStyle w:val="Normal"/>
              <w:widowControl/>
              <w:numPr>
                <w:ilvl w:val="0"/>
                <w:numId w:val="4"/>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My care is provided by people who understand and are sensitive to my needs and my wishes.</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bCs/>
                <w:kern w:val="0"/>
                <w:sz w:val="22"/>
                <w:szCs w:val="22"/>
                <w:lang w:val="en-GB" w:eastAsia="en-US" w:bidi="ar-SA"/>
              </w:rPr>
              <w:t>Be included</w:t>
            </w:r>
          </w:p>
          <w:p>
            <w:pPr>
              <w:pStyle w:val="Normal"/>
              <w:widowControl/>
              <w:numPr>
                <w:ilvl w:val="0"/>
                <w:numId w:val="5"/>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receive the right information, at the right time and in a way that I can understand.</w:t>
            </w:r>
          </w:p>
          <w:p>
            <w:pPr>
              <w:pStyle w:val="Normal"/>
              <w:widowControl/>
              <w:numPr>
                <w:ilvl w:val="0"/>
                <w:numId w:val="5"/>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supported to make informed choices, so that I can control my care and support.</w:t>
            </w:r>
          </w:p>
          <w:p>
            <w:pPr>
              <w:pStyle w:val="Normal"/>
              <w:widowControl/>
              <w:numPr>
                <w:ilvl w:val="0"/>
                <w:numId w:val="5"/>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included in wider decisions about the way the service is provided, and my suggestions, feedback and concerns are considered.</w:t>
            </w:r>
          </w:p>
          <w:p>
            <w:pPr>
              <w:pStyle w:val="Normal"/>
              <w:widowControl/>
              <w:numPr>
                <w:ilvl w:val="0"/>
                <w:numId w:val="5"/>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supported to participate fully and actively in my community.</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bCs/>
                <w:kern w:val="0"/>
                <w:sz w:val="22"/>
                <w:szCs w:val="22"/>
                <w:lang w:val="en-GB" w:eastAsia="en-US" w:bidi="ar-SA"/>
              </w:rPr>
              <w:t>Responsive care and support</w:t>
            </w:r>
          </w:p>
          <w:p>
            <w:pPr>
              <w:pStyle w:val="Normal"/>
              <w:widowControl/>
              <w:numPr>
                <w:ilvl w:val="0"/>
                <w:numId w:val="6"/>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My health and social care needs are assessed and reviewed to ensure I receive the right support and care at the right time.</w:t>
            </w:r>
          </w:p>
          <w:p>
            <w:pPr>
              <w:pStyle w:val="Normal"/>
              <w:widowControl/>
              <w:numPr>
                <w:ilvl w:val="0"/>
                <w:numId w:val="6"/>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My care and support adapts when my needs, choices and decisions change.</w:t>
            </w:r>
          </w:p>
          <w:p>
            <w:pPr>
              <w:pStyle w:val="Normal"/>
              <w:widowControl/>
              <w:numPr>
                <w:ilvl w:val="0"/>
                <w:numId w:val="6"/>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experience consistency in who provides my care and support and in how it is provided.</w:t>
            </w:r>
          </w:p>
          <w:p>
            <w:pPr>
              <w:pStyle w:val="Normal"/>
              <w:widowControl/>
              <w:numPr>
                <w:ilvl w:val="0"/>
                <w:numId w:val="6"/>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If I make a complaint it is acted on.</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bCs/>
                <w:kern w:val="0"/>
                <w:sz w:val="22"/>
                <w:szCs w:val="22"/>
                <w:lang w:val="en-GB" w:eastAsia="en-US" w:bidi="ar-SA"/>
              </w:rPr>
              <w:t>Wellbeing</w:t>
            </w:r>
          </w:p>
          <w:p>
            <w:pPr>
              <w:pStyle w:val="Normal"/>
              <w:widowControl/>
              <w:numPr>
                <w:ilvl w:val="0"/>
                <w:numId w:val="7"/>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asked about my lifestyle preferences and aspirations and I am supported to achieve these.</w:t>
            </w:r>
          </w:p>
          <w:p>
            <w:pPr>
              <w:pStyle w:val="Normal"/>
              <w:widowControl/>
              <w:numPr>
                <w:ilvl w:val="0"/>
                <w:numId w:val="7"/>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encouraged and helped to achieve my full potential.</w:t>
            </w:r>
          </w:p>
          <w:p>
            <w:pPr>
              <w:pStyle w:val="Normal"/>
              <w:widowControl/>
              <w:numPr>
                <w:ilvl w:val="0"/>
                <w:numId w:val="7"/>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am supported to make informed choices, even if this means I might be taking personal risks.</w:t>
            </w:r>
          </w:p>
          <w:p>
            <w:pPr>
              <w:pStyle w:val="Normal"/>
              <w:widowControl/>
              <w:numPr>
                <w:ilvl w:val="0"/>
                <w:numId w:val="7"/>
              </w:numPr>
              <w:tabs>
                <w:tab w:val="left" w:pos="720" w:leader="none"/>
              </w:tabs>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 feel safe and I am protected from neglect, abuse or avoidable harm.</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bl>
    <w:p>
      <w:pPr>
        <w:pStyle w:val="Normal"/>
        <w:widowControl/>
        <w:bidi w:val="0"/>
        <w:spacing w:lineRule="auto" w:line="276" w:before="0" w:after="200"/>
        <w:jc w:val="left"/>
        <w:rPr/>
      </w:pPr>
      <w:r>
        <w:rPr/>
      </w:r>
      <w:bookmarkStart w:id="0" w:name="_GoBack"/>
      <w:bookmarkStart w:id="1" w:name="_GoBack"/>
      <w:bookmarkEnd w:id="1"/>
    </w:p>
    <w:sectPr>
      <w:type w:val="nextPage"/>
      <w:pgSz w:orient="landscape" w:w="16838" w:h="11906"/>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4">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5">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7">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541fd3"/>
    <w:rPr>
      <w:color w:themeColor="hyperlink" w:val="0000FF"/>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d87709"/>
    <w:pPr>
      <w:spacing w:before="0" w:after="20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ec4c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ice.org.uk/guidance/ng32" TargetMode="External"/><Relationship Id="rId3" Type="http://schemas.openxmlformats.org/officeDocument/2006/relationships/hyperlink" Target="https://gov.wales/sites/default/files/publications/2019-06/the-strategy-for-older-people-in-wales-2013-2023.pdf" TargetMode="External"/><Relationship Id="rId4" Type="http://schemas.openxmlformats.org/officeDocument/2006/relationships/hyperlink" Target="https://www.health-ni.gov.uk/sites/default/files/publications/dhssps/the-quality-standards-for-health-and-social-care.pdf" TargetMode="External"/><Relationship Id="rId5" Type="http://schemas.openxmlformats.org/officeDocument/2006/relationships/hyperlink" Target="https://www.gov.scot/binaries/content/documents/govscot/publications/advice-and-guidance/2017/06/health-social-care-standards-support-life/documents/health-social-care-standards-support-life/health-social-care-standards-support-life/govscot%3Adocument/health-social-care-standards-support-life.pdf" TargetMode="External"/><Relationship Id="rId6" Type="http://schemas.openxmlformats.org/officeDocument/2006/relationships/hyperlink" Target="https://www.gov.scot/publications/health-social-care-standards-support-life/"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LibreOffice/24.8.4.2$Windows_X86_64 LibreOffice_project/bb3cfa12c7b1bf994ecc5649a80400d06cd71002</Application>
  <AppVersion>15.0000</AppVersion>
  <Pages>5</Pages>
  <Words>1422</Words>
  <Characters>7562</Characters>
  <CharactersWithSpaces>8886</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2020-07-20T18:42:00Z</dcterms:created>
  <dc:creator>Baerbel</dc:creator>
  <dc:description/>
  <dc:language>en-GB</dc:language>
  <cp:lastModifiedBy/>
  <dcterms:modified xsi:type="dcterms:W3CDTF">2025-02-22T12:33:30Z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