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77777777" w:rsidR="005F3630" w:rsidRPr="00E21E10" w:rsidRDefault="005F3630" w:rsidP="00866763">
      <w:pPr>
        <w:pStyle w:val="Heading1"/>
        <w:rPr>
          <w:noProof/>
          <w:lang w:val="fi-FI"/>
        </w:rPr>
      </w:pPr>
      <w:bookmarkStart w:id="0" w:name="_Toc223426065"/>
      <w:r w:rsidRPr="00E21E10">
        <w:rPr>
          <w:noProof/>
          <w:lang w:val="fi-FI"/>
        </w:rPr>
        <w:t>Yksityisyys, turvallisuus ja tietoturva digitaalisessa energiaympäristössä</w:t>
      </w:r>
      <w:bookmarkEnd w:id="0"/>
    </w:p>
    <w:p w14:paraId="49C3F15F" w14:textId="77777777" w:rsidR="005F3630" w:rsidRPr="00E21E10" w:rsidRDefault="005F3630" w:rsidP="00866763">
      <w:pPr>
        <w:rPr>
          <w:noProof/>
          <w:lang w:val="fi-FI"/>
        </w:rPr>
      </w:pPr>
      <w:r w:rsidRPr="00E21E10">
        <w:rPr>
          <w:noProof/>
          <w:lang w:val="fi-FI"/>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10AF0078" w14:textId="426E22B0" w:rsidR="00E21E10" w:rsidRDefault="005F3630">
      <w:pPr>
        <w:pStyle w:val="TOC1"/>
        <w:tabs>
          <w:tab w:val="right" w:leader="dot" w:pos="9016"/>
        </w:tabs>
        <w:rPr>
          <w:rFonts w:eastAsiaTheme="minorEastAsia"/>
          <w:noProof/>
          <w:kern w:val="2"/>
          <w:sz w:val="24"/>
          <w:szCs w:val="24"/>
          <w:lang w:eastAsia="en-GB"/>
          <w14:ligatures w14:val="standardContextual"/>
        </w:rPr>
      </w:pPr>
      <w:r w:rsidRPr="00E21E10">
        <w:rPr>
          <w:noProof/>
          <w:lang w:val="fi-FI"/>
        </w:rPr>
        <w:fldChar w:fldCharType="begin"/>
      </w:r>
      <w:r w:rsidRPr="00E21E10">
        <w:rPr>
          <w:noProof/>
          <w:lang w:val="fi-FI"/>
        </w:rPr>
        <w:instrText xml:space="preserve"> TOC \o "1-3" \h \z \u </w:instrText>
      </w:r>
      <w:r w:rsidRPr="00E21E10">
        <w:rPr>
          <w:noProof/>
          <w:lang w:val="fi-FI"/>
        </w:rPr>
        <w:fldChar w:fldCharType="separate"/>
      </w:r>
      <w:hyperlink w:anchor="_Toc223426065" w:history="1">
        <w:r w:rsidR="00E21E10" w:rsidRPr="00111BAA">
          <w:rPr>
            <w:rStyle w:val="Hyperlink"/>
            <w:noProof/>
            <w:lang w:val="fi-FI"/>
          </w:rPr>
          <w:t>Yksityisyys, turvallisuus ja tietoturva digitaalisessa energiaympäristössä</w:t>
        </w:r>
        <w:r w:rsidR="00E21E10">
          <w:rPr>
            <w:noProof/>
            <w:webHidden/>
          </w:rPr>
          <w:tab/>
        </w:r>
        <w:r w:rsidR="00E21E10">
          <w:rPr>
            <w:noProof/>
            <w:webHidden/>
          </w:rPr>
          <w:fldChar w:fldCharType="begin"/>
        </w:r>
        <w:r w:rsidR="00E21E10">
          <w:rPr>
            <w:noProof/>
            <w:webHidden/>
          </w:rPr>
          <w:instrText xml:space="preserve"> PAGEREF _Toc223426065 \h </w:instrText>
        </w:r>
        <w:r w:rsidR="00E21E10">
          <w:rPr>
            <w:noProof/>
            <w:webHidden/>
          </w:rPr>
        </w:r>
        <w:r w:rsidR="00E21E10">
          <w:rPr>
            <w:noProof/>
            <w:webHidden/>
          </w:rPr>
          <w:fldChar w:fldCharType="separate"/>
        </w:r>
        <w:r w:rsidR="00E21E10">
          <w:rPr>
            <w:noProof/>
            <w:webHidden/>
          </w:rPr>
          <w:t>1</w:t>
        </w:r>
        <w:r w:rsidR="00E21E10">
          <w:rPr>
            <w:noProof/>
            <w:webHidden/>
          </w:rPr>
          <w:fldChar w:fldCharType="end"/>
        </w:r>
      </w:hyperlink>
    </w:p>
    <w:p w14:paraId="24B1A615" w14:textId="220CA96D" w:rsidR="00E21E10" w:rsidRDefault="00E21E10">
      <w:pPr>
        <w:pStyle w:val="TOC2"/>
        <w:tabs>
          <w:tab w:val="right" w:leader="dot" w:pos="9016"/>
        </w:tabs>
        <w:rPr>
          <w:rFonts w:eastAsiaTheme="minorEastAsia"/>
          <w:noProof/>
          <w:kern w:val="2"/>
          <w:sz w:val="24"/>
          <w:szCs w:val="24"/>
          <w:lang w:eastAsia="en-GB"/>
          <w14:ligatures w14:val="standardContextual"/>
        </w:rPr>
      </w:pPr>
      <w:hyperlink w:anchor="_Toc223426066" w:history="1">
        <w:r w:rsidRPr="00111BAA">
          <w:rPr>
            <w:rStyle w:val="Hyperlink"/>
            <w:rFonts w:eastAsia="Times New Roman"/>
            <w:noProof/>
            <w:lang w:val="fi-FI" w:eastAsia="en-GB"/>
          </w:rPr>
          <w:t>Kurssin sisältö</w:t>
        </w:r>
        <w:r>
          <w:rPr>
            <w:noProof/>
            <w:webHidden/>
          </w:rPr>
          <w:tab/>
        </w:r>
        <w:r>
          <w:rPr>
            <w:noProof/>
            <w:webHidden/>
          </w:rPr>
          <w:fldChar w:fldCharType="begin"/>
        </w:r>
        <w:r>
          <w:rPr>
            <w:noProof/>
            <w:webHidden/>
          </w:rPr>
          <w:instrText xml:space="preserve"> PAGEREF _Toc223426066 \h </w:instrText>
        </w:r>
        <w:r>
          <w:rPr>
            <w:noProof/>
            <w:webHidden/>
          </w:rPr>
        </w:r>
        <w:r>
          <w:rPr>
            <w:noProof/>
            <w:webHidden/>
          </w:rPr>
          <w:fldChar w:fldCharType="separate"/>
        </w:r>
        <w:r>
          <w:rPr>
            <w:noProof/>
            <w:webHidden/>
          </w:rPr>
          <w:t>2</w:t>
        </w:r>
        <w:r>
          <w:rPr>
            <w:noProof/>
            <w:webHidden/>
          </w:rPr>
          <w:fldChar w:fldCharType="end"/>
        </w:r>
      </w:hyperlink>
    </w:p>
    <w:p w14:paraId="4E3D26BB" w14:textId="748CE82F" w:rsidR="00E21E10" w:rsidRDefault="00E21E10">
      <w:pPr>
        <w:pStyle w:val="TOC2"/>
        <w:tabs>
          <w:tab w:val="right" w:leader="dot" w:pos="9016"/>
        </w:tabs>
        <w:rPr>
          <w:rFonts w:eastAsiaTheme="minorEastAsia"/>
          <w:noProof/>
          <w:kern w:val="2"/>
          <w:sz w:val="24"/>
          <w:szCs w:val="24"/>
          <w:lang w:eastAsia="en-GB"/>
          <w14:ligatures w14:val="standardContextual"/>
        </w:rPr>
      </w:pPr>
      <w:hyperlink w:anchor="_Toc223426067" w:history="1">
        <w:r w:rsidRPr="00111BAA">
          <w:rPr>
            <w:rStyle w:val="Hyperlink"/>
            <w:rFonts w:eastAsia="Times New Roman"/>
            <w:noProof/>
            <w:lang w:val="fi-FI" w:eastAsia="en-GB"/>
          </w:rPr>
          <w:t>Oppimistulokset</w:t>
        </w:r>
        <w:r>
          <w:rPr>
            <w:noProof/>
            <w:webHidden/>
          </w:rPr>
          <w:tab/>
        </w:r>
        <w:r>
          <w:rPr>
            <w:noProof/>
            <w:webHidden/>
          </w:rPr>
          <w:fldChar w:fldCharType="begin"/>
        </w:r>
        <w:r>
          <w:rPr>
            <w:noProof/>
            <w:webHidden/>
          </w:rPr>
          <w:instrText xml:space="preserve"> PAGEREF _Toc223426067 \h </w:instrText>
        </w:r>
        <w:r>
          <w:rPr>
            <w:noProof/>
            <w:webHidden/>
          </w:rPr>
        </w:r>
        <w:r>
          <w:rPr>
            <w:noProof/>
            <w:webHidden/>
          </w:rPr>
          <w:fldChar w:fldCharType="separate"/>
        </w:r>
        <w:r>
          <w:rPr>
            <w:noProof/>
            <w:webHidden/>
          </w:rPr>
          <w:t>2</w:t>
        </w:r>
        <w:r>
          <w:rPr>
            <w:noProof/>
            <w:webHidden/>
          </w:rPr>
          <w:fldChar w:fldCharType="end"/>
        </w:r>
      </w:hyperlink>
    </w:p>
    <w:p w14:paraId="1B03A921" w14:textId="0DCBD275" w:rsidR="00E21E10" w:rsidRDefault="00E21E10">
      <w:pPr>
        <w:pStyle w:val="TOC2"/>
        <w:tabs>
          <w:tab w:val="right" w:leader="dot" w:pos="9016"/>
        </w:tabs>
        <w:rPr>
          <w:rFonts w:eastAsiaTheme="minorEastAsia"/>
          <w:noProof/>
          <w:kern w:val="2"/>
          <w:sz w:val="24"/>
          <w:szCs w:val="24"/>
          <w:lang w:eastAsia="en-GB"/>
          <w14:ligatures w14:val="standardContextual"/>
        </w:rPr>
      </w:pPr>
      <w:hyperlink w:anchor="_Toc223426068" w:history="1">
        <w:r w:rsidRPr="00111BAA">
          <w:rPr>
            <w:rStyle w:val="Hyperlink"/>
            <w:rFonts w:eastAsia="Times New Roman"/>
            <w:noProof/>
            <w:lang w:val="fi-FI" w:eastAsia="en-GB"/>
          </w:rPr>
          <w:t>Johdanto</w:t>
        </w:r>
        <w:r>
          <w:rPr>
            <w:noProof/>
            <w:webHidden/>
          </w:rPr>
          <w:tab/>
        </w:r>
        <w:r>
          <w:rPr>
            <w:noProof/>
            <w:webHidden/>
          </w:rPr>
          <w:fldChar w:fldCharType="begin"/>
        </w:r>
        <w:r>
          <w:rPr>
            <w:noProof/>
            <w:webHidden/>
          </w:rPr>
          <w:instrText xml:space="preserve"> PAGEREF _Toc223426068 \h </w:instrText>
        </w:r>
        <w:r>
          <w:rPr>
            <w:noProof/>
            <w:webHidden/>
          </w:rPr>
        </w:r>
        <w:r>
          <w:rPr>
            <w:noProof/>
            <w:webHidden/>
          </w:rPr>
          <w:fldChar w:fldCharType="separate"/>
        </w:r>
        <w:r>
          <w:rPr>
            <w:noProof/>
            <w:webHidden/>
          </w:rPr>
          <w:t>3</w:t>
        </w:r>
        <w:r>
          <w:rPr>
            <w:noProof/>
            <w:webHidden/>
          </w:rPr>
          <w:fldChar w:fldCharType="end"/>
        </w:r>
      </w:hyperlink>
    </w:p>
    <w:p w14:paraId="767C1E9E" w14:textId="6DCE2DB1" w:rsidR="00E21E10" w:rsidRDefault="00E21E10">
      <w:pPr>
        <w:pStyle w:val="TOC2"/>
        <w:tabs>
          <w:tab w:val="right" w:leader="dot" w:pos="9016"/>
        </w:tabs>
        <w:rPr>
          <w:rFonts w:eastAsiaTheme="minorEastAsia"/>
          <w:noProof/>
          <w:kern w:val="2"/>
          <w:sz w:val="24"/>
          <w:szCs w:val="24"/>
          <w:lang w:eastAsia="en-GB"/>
          <w14:ligatures w14:val="standardContextual"/>
        </w:rPr>
      </w:pPr>
      <w:hyperlink w:anchor="_Toc223426069" w:history="1">
        <w:r w:rsidRPr="00111BAA">
          <w:rPr>
            <w:rStyle w:val="Hyperlink"/>
            <w:rFonts w:eastAsia="Times New Roman"/>
            <w:noProof/>
            <w:lang w:val="fi-FI" w:eastAsia="en-GB"/>
          </w:rPr>
          <w:t>Digitaaliset teknologiat ja digitaalinen energiasiirtymä</w:t>
        </w:r>
        <w:r>
          <w:rPr>
            <w:noProof/>
            <w:webHidden/>
          </w:rPr>
          <w:tab/>
        </w:r>
        <w:r>
          <w:rPr>
            <w:noProof/>
            <w:webHidden/>
          </w:rPr>
          <w:fldChar w:fldCharType="begin"/>
        </w:r>
        <w:r>
          <w:rPr>
            <w:noProof/>
            <w:webHidden/>
          </w:rPr>
          <w:instrText xml:space="preserve"> PAGEREF _Toc223426069 \h </w:instrText>
        </w:r>
        <w:r>
          <w:rPr>
            <w:noProof/>
            <w:webHidden/>
          </w:rPr>
        </w:r>
        <w:r>
          <w:rPr>
            <w:noProof/>
            <w:webHidden/>
          </w:rPr>
          <w:fldChar w:fldCharType="separate"/>
        </w:r>
        <w:r>
          <w:rPr>
            <w:noProof/>
            <w:webHidden/>
          </w:rPr>
          <w:t>3</w:t>
        </w:r>
        <w:r>
          <w:rPr>
            <w:noProof/>
            <w:webHidden/>
          </w:rPr>
          <w:fldChar w:fldCharType="end"/>
        </w:r>
      </w:hyperlink>
    </w:p>
    <w:p w14:paraId="12AF861E" w14:textId="54806BCE" w:rsidR="00E21E10" w:rsidRDefault="00E21E10">
      <w:pPr>
        <w:pStyle w:val="TOC2"/>
        <w:tabs>
          <w:tab w:val="right" w:leader="dot" w:pos="9016"/>
        </w:tabs>
        <w:rPr>
          <w:rFonts w:eastAsiaTheme="minorEastAsia"/>
          <w:noProof/>
          <w:kern w:val="2"/>
          <w:sz w:val="24"/>
          <w:szCs w:val="24"/>
          <w:lang w:eastAsia="en-GB"/>
          <w14:ligatures w14:val="standardContextual"/>
        </w:rPr>
      </w:pPr>
      <w:hyperlink w:anchor="_Toc223426070" w:history="1">
        <w:r w:rsidRPr="00111BAA">
          <w:rPr>
            <w:rStyle w:val="Hyperlink"/>
            <w:rFonts w:eastAsia="Times New Roman"/>
            <w:noProof/>
            <w:lang w:val="fi-FI" w:eastAsia="en-GB"/>
          </w:rPr>
          <w:t>Kyberturvallisuus energia-alalla</w:t>
        </w:r>
        <w:r>
          <w:rPr>
            <w:noProof/>
            <w:webHidden/>
          </w:rPr>
          <w:tab/>
        </w:r>
        <w:r>
          <w:rPr>
            <w:noProof/>
            <w:webHidden/>
          </w:rPr>
          <w:fldChar w:fldCharType="begin"/>
        </w:r>
        <w:r>
          <w:rPr>
            <w:noProof/>
            <w:webHidden/>
          </w:rPr>
          <w:instrText xml:space="preserve"> PAGEREF _Toc223426070 \h </w:instrText>
        </w:r>
        <w:r>
          <w:rPr>
            <w:noProof/>
            <w:webHidden/>
          </w:rPr>
        </w:r>
        <w:r>
          <w:rPr>
            <w:noProof/>
            <w:webHidden/>
          </w:rPr>
          <w:fldChar w:fldCharType="separate"/>
        </w:r>
        <w:r>
          <w:rPr>
            <w:noProof/>
            <w:webHidden/>
          </w:rPr>
          <w:t>4</w:t>
        </w:r>
        <w:r>
          <w:rPr>
            <w:noProof/>
            <w:webHidden/>
          </w:rPr>
          <w:fldChar w:fldCharType="end"/>
        </w:r>
      </w:hyperlink>
    </w:p>
    <w:p w14:paraId="72B8E3F8" w14:textId="76C95B62" w:rsidR="00E21E10" w:rsidRDefault="00E21E10">
      <w:pPr>
        <w:pStyle w:val="TOC2"/>
        <w:tabs>
          <w:tab w:val="right" w:leader="dot" w:pos="9016"/>
        </w:tabs>
        <w:rPr>
          <w:rFonts w:eastAsiaTheme="minorEastAsia"/>
          <w:noProof/>
          <w:kern w:val="2"/>
          <w:sz w:val="24"/>
          <w:szCs w:val="24"/>
          <w:lang w:eastAsia="en-GB"/>
          <w14:ligatures w14:val="standardContextual"/>
        </w:rPr>
      </w:pPr>
      <w:hyperlink w:anchor="_Toc223426071" w:history="1">
        <w:r w:rsidRPr="00111BAA">
          <w:rPr>
            <w:rStyle w:val="Hyperlink"/>
            <w:rFonts w:eastAsia="Times New Roman"/>
            <w:noProof/>
            <w:lang w:val="fi-FI" w:eastAsia="en-GB"/>
          </w:rPr>
          <w:t>Energiatietojesi yksityisyyden, turvallisuuden ja suojan parantaminen</w:t>
        </w:r>
        <w:r>
          <w:rPr>
            <w:noProof/>
            <w:webHidden/>
          </w:rPr>
          <w:tab/>
        </w:r>
        <w:r>
          <w:rPr>
            <w:noProof/>
            <w:webHidden/>
          </w:rPr>
          <w:fldChar w:fldCharType="begin"/>
        </w:r>
        <w:r>
          <w:rPr>
            <w:noProof/>
            <w:webHidden/>
          </w:rPr>
          <w:instrText xml:space="preserve"> PAGEREF _Toc223426071 \h </w:instrText>
        </w:r>
        <w:r>
          <w:rPr>
            <w:noProof/>
            <w:webHidden/>
          </w:rPr>
        </w:r>
        <w:r>
          <w:rPr>
            <w:noProof/>
            <w:webHidden/>
          </w:rPr>
          <w:fldChar w:fldCharType="separate"/>
        </w:r>
        <w:r>
          <w:rPr>
            <w:noProof/>
            <w:webHidden/>
          </w:rPr>
          <w:t>5</w:t>
        </w:r>
        <w:r>
          <w:rPr>
            <w:noProof/>
            <w:webHidden/>
          </w:rPr>
          <w:fldChar w:fldCharType="end"/>
        </w:r>
      </w:hyperlink>
    </w:p>
    <w:p w14:paraId="3A0E8E57" w14:textId="613F5939" w:rsidR="00E21E10" w:rsidRDefault="00E21E10">
      <w:pPr>
        <w:pStyle w:val="TOC2"/>
        <w:tabs>
          <w:tab w:val="right" w:leader="dot" w:pos="9016"/>
        </w:tabs>
        <w:rPr>
          <w:rFonts w:eastAsiaTheme="minorEastAsia"/>
          <w:noProof/>
          <w:kern w:val="2"/>
          <w:sz w:val="24"/>
          <w:szCs w:val="24"/>
          <w:lang w:eastAsia="en-GB"/>
          <w14:ligatures w14:val="standardContextual"/>
        </w:rPr>
      </w:pPr>
      <w:hyperlink w:anchor="_Toc223426072" w:history="1">
        <w:r w:rsidRPr="00111BAA">
          <w:rPr>
            <w:rStyle w:val="Hyperlink"/>
            <w:noProof/>
            <w:lang w:val="fi-FI"/>
          </w:rPr>
          <w:t>Johtopäätös</w:t>
        </w:r>
        <w:r>
          <w:rPr>
            <w:noProof/>
            <w:webHidden/>
          </w:rPr>
          <w:tab/>
        </w:r>
        <w:r>
          <w:rPr>
            <w:noProof/>
            <w:webHidden/>
          </w:rPr>
          <w:fldChar w:fldCharType="begin"/>
        </w:r>
        <w:r>
          <w:rPr>
            <w:noProof/>
            <w:webHidden/>
          </w:rPr>
          <w:instrText xml:space="preserve"> PAGEREF _Toc223426072 \h </w:instrText>
        </w:r>
        <w:r>
          <w:rPr>
            <w:noProof/>
            <w:webHidden/>
          </w:rPr>
        </w:r>
        <w:r>
          <w:rPr>
            <w:noProof/>
            <w:webHidden/>
          </w:rPr>
          <w:fldChar w:fldCharType="separate"/>
        </w:r>
        <w:r>
          <w:rPr>
            <w:noProof/>
            <w:webHidden/>
          </w:rPr>
          <w:t>6</w:t>
        </w:r>
        <w:r>
          <w:rPr>
            <w:noProof/>
            <w:webHidden/>
          </w:rPr>
          <w:fldChar w:fldCharType="end"/>
        </w:r>
      </w:hyperlink>
    </w:p>
    <w:p w14:paraId="5B777300" w14:textId="2698515E" w:rsidR="00E21E10" w:rsidRDefault="00E21E10">
      <w:pPr>
        <w:pStyle w:val="TOC2"/>
        <w:tabs>
          <w:tab w:val="right" w:leader="dot" w:pos="9016"/>
        </w:tabs>
        <w:rPr>
          <w:rFonts w:eastAsiaTheme="minorEastAsia"/>
          <w:noProof/>
          <w:kern w:val="2"/>
          <w:sz w:val="24"/>
          <w:szCs w:val="24"/>
          <w:lang w:eastAsia="en-GB"/>
          <w14:ligatures w14:val="standardContextual"/>
        </w:rPr>
      </w:pPr>
      <w:hyperlink w:anchor="_Toc223426073" w:history="1">
        <w:r w:rsidRPr="00111BAA">
          <w:rPr>
            <w:rStyle w:val="Hyperlink"/>
            <w:rFonts w:eastAsia="Times New Roman"/>
            <w:noProof/>
            <w:lang w:val="fi-FI" w:eastAsia="en-GB"/>
          </w:rPr>
          <w:t>Lisätietoja</w:t>
        </w:r>
        <w:r>
          <w:rPr>
            <w:noProof/>
            <w:webHidden/>
          </w:rPr>
          <w:tab/>
        </w:r>
        <w:r>
          <w:rPr>
            <w:noProof/>
            <w:webHidden/>
          </w:rPr>
          <w:fldChar w:fldCharType="begin"/>
        </w:r>
        <w:r>
          <w:rPr>
            <w:noProof/>
            <w:webHidden/>
          </w:rPr>
          <w:instrText xml:space="preserve"> PAGEREF _Toc223426073 \h </w:instrText>
        </w:r>
        <w:r>
          <w:rPr>
            <w:noProof/>
            <w:webHidden/>
          </w:rPr>
        </w:r>
        <w:r>
          <w:rPr>
            <w:noProof/>
            <w:webHidden/>
          </w:rPr>
          <w:fldChar w:fldCharType="separate"/>
        </w:r>
        <w:r>
          <w:rPr>
            <w:noProof/>
            <w:webHidden/>
          </w:rPr>
          <w:t>6</w:t>
        </w:r>
        <w:r>
          <w:rPr>
            <w:noProof/>
            <w:webHidden/>
          </w:rPr>
          <w:fldChar w:fldCharType="end"/>
        </w:r>
      </w:hyperlink>
    </w:p>
    <w:p w14:paraId="1083A736" w14:textId="215364AF" w:rsidR="00E21E10" w:rsidRDefault="00E21E10">
      <w:pPr>
        <w:pStyle w:val="TOC2"/>
        <w:tabs>
          <w:tab w:val="right" w:leader="dot" w:pos="9016"/>
        </w:tabs>
        <w:rPr>
          <w:rFonts w:eastAsiaTheme="minorEastAsia"/>
          <w:noProof/>
          <w:kern w:val="2"/>
          <w:sz w:val="24"/>
          <w:szCs w:val="24"/>
          <w:lang w:eastAsia="en-GB"/>
          <w14:ligatures w14:val="standardContextual"/>
        </w:rPr>
      </w:pPr>
      <w:hyperlink w:anchor="_Toc223426074" w:history="1">
        <w:r w:rsidRPr="00111BAA">
          <w:rPr>
            <w:rStyle w:val="Hyperlink"/>
            <w:noProof/>
            <w:lang w:val="fi-FI"/>
          </w:rPr>
          <w:t>Kiitokset</w:t>
        </w:r>
        <w:r>
          <w:rPr>
            <w:noProof/>
            <w:webHidden/>
          </w:rPr>
          <w:tab/>
        </w:r>
        <w:r>
          <w:rPr>
            <w:noProof/>
            <w:webHidden/>
          </w:rPr>
          <w:fldChar w:fldCharType="begin"/>
        </w:r>
        <w:r>
          <w:rPr>
            <w:noProof/>
            <w:webHidden/>
          </w:rPr>
          <w:instrText xml:space="preserve"> PAGEREF _Toc223426074 \h </w:instrText>
        </w:r>
        <w:r>
          <w:rPr>
            <w:noProof/>
            <w:webHidden/>
          </w:rPr>
        </w:r>
        <w:r>
          <w:rPr>
            <w:noProof/>
            <w:webHidden/>
          </w:rPr>
          <w:fldChar w:fldCharType="separate"/>
        </w:r>
        <w:r>
          <w:rPr>
            <w:noProof/>
            <w:webHidden/>
          </w:rPr>
          <w:t>7</w:t>
        </w:r>
        <w:r>
          <w:rPr>
            <w:noProof/>
            <w:webHidden/>
          </w:rPr>
          <w:fldChar w:fldCharType="end"/>
        </w:r>
      </w:hyperlink>
    </w:p>
    <w:p w14:paraId="25B27EC9" w14:textId="179736EC" w:rsidR="00E21E10" w:rsidRDefault="00E21E10">
      <w:pPr>
        <w:pStyle w:val="TOC2"/>
        <w:tabs>
          <w:tab w:val="right" w:leader="dot" w:pos="9016"/>
        </w:tabs>
        <w:rPr>
          <w:rFonts w:eastAsiaTheme="minorEastAsia"/>
          <w:noProof/>
          <w:kern w:val="2"/>
          <w:sz w:val="24"/>
          <w:szCs w:val="24"/>
          <w:lang w:eastAsia="en-GB"/>
          <w14:ligatures w14:val="standardContextual"/>
        </w:rPr>
      </w:pPr>
      <w:hyperlink w:anchor="_Toc223426075" w:history="1">
        <w:r w:rsidRPr="00111BAA">
          <w:rPr>
            <w:rStyle w:val="Hyperlink"/>
            <w:noProof/>
            <w:lang w:val="fi-FI"/>
          </w:rPr>
          <w:t>Kuvien lähteet</w:t>
        </w:r>
        <w:r>
          <w:rPr>
            <w:noProof/>
            <w:webHidden/>
          </w:rPr>
          <w:tab/>
        </w:r>
        <w:r>
          <w:rPr>
            <w:noProof/>
            <w:webHidden/>
          </w:rPr>
          <w:fldChar w:fldCharType="begin"/>
        </w:r>
        <w:r>
          <w:rPr>
            <w:noProof/>
            <w:webHidden/>
          </w:rPr>
          <w:instrText xml:space="preserve"> PAGEREF _Toc223426075 \h </w:instrText>
        </w:r>
        <w:r>
          <w:rPr>
            <w:noProof/>
            <w:webHidden/>
          </w:rPr>
        </w:r>
        <w:r>
          <w:rPr>
            <w:noProof/>
            <w:webHidden/>
          </w:rPr>
          <w:fldChar w:fldCharType="separate"/>
        </w:r>
        <w:r>
          <w:rPr>
            <w:noProof/>
            <w:webHidden/>
          </w:rPr>
          <w:t>7</w:t>
        </w:r>
        <w:r>
          <w:rPr>
            <w:noProof/>
            <w:webHidden/>
          </w:rPr>
          <w:fldChar w:fldCharType="end"/>
        </w:r>
      </w:hyperlink>
    </w:p>
    <w:p w14:paraId="2621F29E" w14:textId="4BB6B963" w:rsidR="005F3630" w:rsidRPr="00E21E10" w:rsidRDefault="005F3630" w:rsidP="00866763">
      <w:pPr>
        <w:rPr>
          <w:noProof/>
          <w:lang w:val="fi-FI"/>
        </w:rPr>
      </w:pPr>
      <w:r w:rsidRPr="00E21E10">
        <w:rPr>
          <w:noProof/>
          <w:lang w:val="fi-FI"/>
        </w:rPr>
        <w:fldChar w:fldCharType="end"/>
      </w:r>
    </w:p>
    <w:p w14:paraId="7F6558CF" w14:textId="77777777" w:rsidR="005F3630" w:rsidRPr="00E21E10" w:rsidRDefault="005F3630" w:rsidP="00866763">
      <w:pPr>
        <w:rPr>
          <w:noProof/>
          <w:lang w:val="fi-FI"/>
        </w:rPr>
      </w:pPr>
    </w:p>
    <w:p w14:paraId="6E0CECFD" w14:textId="77777777" w:rsidR="005F3630" w:rsidRPr="00E21E10" w:rsidRDefault="005F3630" w:rsidP="00866763">
      <w:pPr>
        <w:rPr>
          <w:noProof/>
          <w:lang w:val="fi-FI"/>
        </w:rPr>
      </w:pPr>
    </w:p>
    <w:p w14:paraId="38871F6E" w14:textId="77777777" w:rsidR="00A24F98" w:rsidRPr="00E21E10" w:rsidRDefault="00A24F98">
      <w:pPr>
        <w:rPr>
          <w:rFonts w:asciiTheme="majorHAnsi" w:eastAsia="Times New Roman" w:hAnsiTheme="majorHAnsi" w:cstheme="majorBidi"/>
          <w:noProof/>
          <w:color w:val="2F5496" w:themeColor="accent1" w:themeShade="BF"/>
          <w:sz w:val="26"/>
          <w:szCs w:val="26"/>
          <w:lang w:val="fi-FI" w:eastAsia="en-GB"/>
        </w:rPr>
      </w:pPr>
      <w:r w:rsidRPr="00E21E10">
        <w:rPr>
          <w:rFonts w:eastAsia="Times New Roman"/>
          <w:noProof/>
          <w:lang w:val="fi-FI" w:eastAsia="en-GB"/>
        </w:rPr>
        <w:br w:type="page"/>
      </w:r>
    </w:p>
    <w:p w14:paraId="00ECA66B" w14:textId="34583F74" w:rsidR="005F3630" w:rsidRPr="00E21E10" w:rsidRDefault="005F3630" w:rsidP="00A11537">
      <w:pPr>
        <w:pStyle w:val="Heading2"/>
        <w:rPr>
          <w:rFonts w:asciiTheme="minorHAnsi" w:eastAsia="Times New Roman" w:hAnsiTheme="minorHAnsi"/>
          <w:noProof/>
          <w:lang w:val="fi-FI" w:eastAsia="en-GB"/>
        </w:rPr>
      </w:pPr>
      <w:bookmarkStart w:id="1" w:name="_Toc223426066"/>
      <w:r w:rsidRPr="00E21E10">
        <w:rPr>
          <w:rFonts w:eastAsia="Times New Roman"/>
          <w:noProof/>
          <w:lang w:val="fi-FI" w:eastAsia="en-GB"/>
        </w:rPr>
        <w:lastRenderedPageBreak/>
        <w:t>Kurssin sisältö</w:t>
      </w:r>
      <w:bookmarkEnd w:id="1"/>
    </w:p>
    <w:p w14:paraId="11B8F7C5" w14:textId="77777777" w:rsidR="005F3630" w:rsidRPr="00E21E10" w:rsidRDefault="005F3630" w:rsidP="00866763">
      <w:pPr>
        <w:spacing w:after="0" w:line="240" w:lineRule="auto"/>
        <w:rPr>
          <w:rFonts w:eastAsia="Times New Roman" w:cstheme="minorHAnsi"/>
          <w:noProof/>
          <w:sz w:val="24"/>
          <w:szCs w:val="24"/>
          <w:lang w:val="fi-FI" w:eastAsia="en-GB"/>
        </w:rPr>
      </w:pPr>
    </w:p>
    <w:p w14:paraId="0005EA15"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Tämä lyhyt, 30 minuutin kurssi selittää, mitä yksityisyys, turvallisuus ja tietoturva tarkoittavat energian digitalisoinnin yhteydessä. Kurssilla käsitellään myös älykkään energiateknologian käyttöön liittyviä huolenaiheita. </w:t>
      </w:r>
    </w:p>
    <w:p w14:paraId="7DF1D85E" w14:textId="77777777" w:rsidR="005F3630" w:rsidRPr="00E21E10" w:rsidRDefault="005F3630" w:rsidP="00866763">
      <w:pPr>
        <w:spacing w:after="0" w:line="240" w:lineRule="auto"/>
        <w:rPr>
          <w:rFonts w:eastAsia="Times New Roman" w:cstheme="minorHAnsi"/>
          <w:noProof/>
          <w:sz w:val="24"/>
          <w:szCs w:val="24"/>
          <w:lang w:val="fi-FI" w:eastAsia="en-GB"/>
        </w:rPr>
      </w:pPr>
    </w:p>
    <w:p w14:paraId="42068134"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Saatat olla: </w:t>
      </w:r>
    </w:p>
    <w:p w14:paraId="0E97790B" w14:textId="77777777" w:rsidR="005F3630" w:rsidRPr="00E21E10" w:rsidRDefault="005F3630" w:rsidP="00866763">
      <w:pPr>
        <w:spacing w:after="0" w:line="240" w:lineRule="auto"/>
        <w:rPr>
          <w:rFonts w:eastAsia="Times New Roman" w:cstheme="minorHAnsi"/>
          <w:noProof/>
          <w:sz w:val="24"/>
          <w:szCs w:val="24"/>
          <w:lang w:val="fi-FI" w:eastAsia="en-GB"/>
        </w:rPr>
      </w:pPr>
    </w:p>
    <w:p w14:paraId="640B439B" w14:textId="77777777" w:rsidR="005F3630" w:rsidRPr="00E21E10" w:rsidRDefault="005F3630" w:rsidP="005F3630">
      <w:pPr>
        <w:numPr>
          <w:ilvl w:val="0"/>
          <w:numId w:val="64"/>
        </w:num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Kiinnostunut älyteknologioiden käytöstä energiankulutuksen ymmärtämiseksi paremmin, mutta epävarma siitä, miten voit suojata henkilötietosi.</w:t>
      </w:r>
    </w:p>
    <w:p w14:paraId="1F2D7C62" w14:textId="77777777" w:rsidR="005F3630" w:rsidRPr="00E21E10" w:rsidRDefault="005F3630" w:rsidP="005F3630">
      <w:pPr>
        <w:numPr>
          <w:ilvl w:val="0"/>
          <w:numId w:val="64"/>
        </w:num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utelias siitä, miten henkilökohtaisia tietojasi käytetään ja jaetaan digitaalisten teknologioiden käytössä.</w:t>
      </w:r>
    </w:p>
    <w:p w14:paraId="2F0984BC" w14:textId="77777777" w:rsidR="005F3630" w:rsidRPr="00E21E10" w:rsidRDefault="005F3630" w:rsidP="005F3630">
      <w:pPr>
        <w:numPr>
          <w:ilvl w:val="0"/>
          <w:numId w:val="64"/>
        </w:num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haluat ymmärtää paremmin yksityisyyttä, turvallisuutta ja tietoturvaa energian digitalisoinnin yhteydessä.</w:t>
      </w:r>
    </w:p>
    <w:p w14:paraId="1B35DE91" w14:textId="77777777" w:rsidR="005F3630" w:rsidRPr="00E21E10" w:rsidRDefault="005F3630" w:rsidP="00866763">
      <w:pPr>
        <w:spacing w:after="0" w:line="240" w:lineRule="auto"/>
        <w:rPr>
          <w:rFonts w:eastAsia="Times New Roman" w:cstheme="minorHAnsi"/>
          <w:noProof/>
          <w:sz w:val="24"/>
          <w:szCs w:val="24"/>
          <w:lang w:val="fi-FI" w:eastAsia="en-GB"/>
        </w:rPr>
      </w:pPr>
    </w:p>
    <w:p w14:paraId="7CA811FA" w14:textId="20E49899" w:rsidR="005F3630" w:rsidRPr="00E21E10" w:rsidRDefault="005F3630" w:rsidP="00A11537">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Tämä kurssi syventää ymmärrystäsi digitaalisesta energiasiirtymästä ja tukee omaa digitaalista </w:t>
      </w:r>
      <w:r w:rsidR="008215A0" w:rsidRPr="00E21E10">
        <w:rPr>
          <w:rFonts w:eastAsia="Times New Roman" w:cstheme="minorHAnsi"/>
          <w:noProof/>
          <w:sz w:val="24"/>
          <w:szCs w:val="24"/>
          <w:lang w:val="fi-FI" w:eastAsia="en-GB"/>
        </w:rPr>
        <w:t>energiamatkaasi</w:t>
      </w:r>
      <w:r w:rsidRPr="00E21E10">
        <w:rPr>
          <w:rFonts w:eastAsia="Times New Roman" w:cstheme="minorHAnsi"/>
          <w:noProof/>
          <w:sz w:val="24"/>
          <w:szCs w:val="24"/>
          <w:lang w:val="fi-FI" w:eastAsia="en-GB"/>
        </w:rPr>
        <w:t xml:space="preserve">! Se on osa 12 kurssin sarjaa nimeltä </w:t>
      </w:r>
      <w:hyperlink r:id="rId11" w:history="1">
        <w:r w:rsidRPr="00E21E10">
          <w:rPr>
            <w:rStyle w:val="Hyperlink"/>
            <w:rFonts w:eastAsia="Times New Roman" w:cstheme="minorHAnsi"/>
            <w:i/>
            <w:iCs/>
            <w:noProof/>
            <w:sz w:val="24"/>
            <w:szCs w:val="24"/>
            <w:lang w:val="fi-FI" w:eastAsia="en-GB"/>
          </w:rPr>
          <w:t>Digital Energy Essentials</w:t>
        </w:r>
      </w:hyperlink>
      <w:r w:rsidR="000D1769" w:rsidRPr="00E21E10">
        <w:rPr>
          <w:rFonts w:eastAsia="Times New Roman" w:cstheme="minorHAnsi"/>
          <w:noProof/>
          <w:sz w:val="24"/>
          <w:szCs w:val="24"/>
          <w:lang w:val="fi-FI" w:eastAsia="en-GB"/>
        </w:rPr>
        <w:t xml:space="preserve"> (Digitaalisen energian olennaiset elementit),</w:t>
      </w:r>
      <w:r w:rsidRPr="00E21E10">
        <w:rPr>
          <w:rFonts w:eastAsia="Times New Roman" w:cstheme="minorHAnsi"/>
          <w:noProof/>
          <w:sz w:val="24"/>
          <w:szCs w:val="24"/>
          <w:lang w:val="fi-FI" w:eastAsia="en-GB"/>
        </w:rPr>
        <w:t xml:space="preserve"> jonka on kehittänyt Every1-projekti, jonka tavoitteena on mahdollistaa ja voimaannuttaa kaikkien osallistuminen energiasiirtymään. Lisätietoja projektista löydät osoitteesta:</w:t>
      </w:r>
      <w:hyperlink r:id="rId12" w:tgtFrame="_blank" w:history="1">
        <w:r w:rsidRPr="00E21E10">
          <w:rPr>
            <w:rStyle w:val="Hyperlink"/>
            <w:rFonts w:eastAsia="Times New Roman" w:cstheme="minorHAnsi"/>
            <w:noProof/>
            <w:sz w:val="24"/>
            <w:szCs w:val="24"/>
            <w:lang w:val="fi-FI" w:eastAsia="en-GB"/>
          </w:rPr>
          <w:t xml:space="preserve"> https://every1.energy</w:t>
        </w:r>
      </w:hyperlink>
      <w:r w:rsidRPr="00E21E10">
        <w:rPr>
          <w:rFonts w:eastAsia="Times New Roman" w:cstheme="minorHAnsi"/>
          <w:noProof/>
          <w:sz w:val="24"/>
          <w:szCs w:val="24"/>
          <w:lang w:val="fi-FI" w:eastAsia="en-GB"/>
        </w:rPr>
        <w:t>  </w:t>
      </w:r>
    </w:p>
    <w:p w14:paraId="56C69197" w14:textId="77777777" w:rsidR="005F3630" w:rsidRPr="00E21E10" w:rsidRDefault="005F3630" w:rsidP="00A11537">
      <w:pPr>
        <w:spacing w:after="0" w:line="240" w:lineRule="auto"/>
        <w:rPr>
          <w:rFonts w:eastAsia="Times New Roman" w:cstheme="minorHAnsi"/>
          <w:noProof/>
          <w:sz w:val="24"/>
          <w:szCs w:val="24"/>
          <w:lang w:val="fi-FI" w:eastAsia="en-GB"/>
        </w:rPr>
      </w:pPr>
    </w:p>
    <w:p w14:paraId="1ACC2BBE" w14:textId="77777777" w:rsidR="005F3630" w:rsidRPr="00E21E10" w:rsidRDefault="005F3630" w:rsidP="00A11537">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Kurssin lopussa suosittelemme sinulle lisämateriaalia, jota voit tutkia. Tähän kuuluu kurssi </w:t>
      </w:r>
      <w:hyperlink r:id="rId13" w:history="1">
        <w:r w:rsidRPr="00E21E10">
          <w:rPr>
            <w:rStyle w:val="Hyperlink"/>
            <w:rFonts w:eastAsia="Times New Roman" w:cstheme="minorHAnsi"/>
            <w:i/>
            <w:iCs/>
            <w:noProof/>
            <w:sz w:val="24"/>
            <w:szCs w:val="24"/>
            <w:lang w:val="fi-FI" w:eastAsia="en-GB"/>
          </w:rPr>
          <w:t>What is the Digital Energy Transition? (Mikä</w:t>
        </w:r>
      </w:hyperlink>
      <w:r w:rsidRPr="00E21E10">
        <w:rPr>
          <w:rFonts w:eastAsia="Times New Roman" w:cstheme="minorHAnsi"/>
          <w:noProof/>
          <w:sz w:val="24"/>
          <w:szCs w:val="24"/>
          <w:lang w:val="fi-FI" w:eastAsia="en-GB"/>
        </w:rPr>
        <w:t xml:space="preserve"> on digitaalinen </w:t>
      </w:r>
      <w:hyperlink r:id="rId14" w:history="1">
        <w:r w:rsidRPr="00E21E10">
          <w:rPr>
            <w:rStyle w:val="Hyperlink"/>
            <w:rFonts w:eastAsia="Times New Roman" w:cstheme="minorHAnsi"/>
            <w:i/>
            <w:iCs/>
            <w:noProof/>
            <w:sz w:val="24"/>
            <w:szCs w:val="24"/>
            <w:lang w:val="fi-FI" w:eastAsia="en-GB"/>
          </w:rPr>
          <w:t>energiasiirtymä?),</w:t>
        </w:r>
      </w:hyperlink>
      <w:r w:rsidRPr="00E21E10">
        <w:rPr>
          <w:rFonts w:eastAsia="Times New Roman" w:cstheme="minorHAnsi"/>
          <w:noProof/>
          <w:sz w:val="24"/>
          <w:szCs w:val="24"/>
          <w:lang w:val="fi-FI" w:eastAsia="en-GB"/>
        </w:rPr>
        <w:t xml:space="preserve"> jossa tutkitaan, mitä digitaalinen energia on ja miksi siirrymme kohti energian tuotannon ja kulutuksen digitalisointia. </w:t>
      </w:r>
    </w:p>
    <w:p w14:paraId="25B6E25B" w14:textId="77777777" w:rsidR="005F3630" w:rsidRPr="00E21E10" w:rsidRDefault="005F3630" w:rsidP="00A11537">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w:t>
      </w:r>
    </w:p>
    <w:p w14:paraId="741677B9" w14:textId="77777777" w:rsidR="005F363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Tämä on käännös </w:t>
      </w:r>
      <w:hyperlink r:id="rId15" w:history="1">
        <w:r w:rsidRPr="00E21E10">
          <w:rPr>
            <w:rStyle w:val="Hyperlink"/>
            <w:rFonts w:eastAsia="Times New Roman" w:cstheme="minorHAnsi"/>
            <w:noProof/>
            <w:sz w:val="24"/>
            <w:szCs w:val="24"/>
            <w:lang w:val="fi-FI" w:eastAsia="en-GB"/>
          </w:rPr>
          <w:t>kurssin</w:t>
        </w:r>
      </w:hyperlink>
      <w:r w:rsidRPr="00E21E10">
        <w:rPr>
          <w:rFonts w:eastAsia="Times New Roman" w:cstheme="minorHAnsi"/>
          <w:noProof/>
          <w:sz w:val="24"/>
          <w:szCs w:val="24"/>
          <w:lang w:val="fi-FI" w:eastAsia="en-GB"/>
        </w:rPr>
        <w:t xml:space="preserve"> alkuperäisestä </w:t>
      </w:r>
      <w:hyperlink r:id="rId16" w:history="1">
        <w:r w:rsidRPr="00E21E10">
          <w:rPr>
            <w:rStyle w:val="Hyperlink"/>
            <w:rFonts w:eastAsia="Times New Roman" w:cstheme="minorHAnsi"/>
            <w:noProof/>
            <w:sz w:val="24"/>
            <w:szCs w:val="24"/>
            <w:lang w:val="fi-FI" w:eastAsia="en-GB"/>
          </w:rPr>
          <w:t>englanninkielisestä versiosta</w:t>
        </w:r>
      </w:hyperlink>
      <w:r w:rsidRPr="00E21E10">
        <w:rPr>
          <w:rFonts w:eastAsia="Times New Roman" w:cstheme="minorHAnsi"/>
          <w:noProof/>
          <w:sz w:val="24"/>
          <w:szCs w:val="24"/>
          <w:lang w:val="fi-FI" w:eastAsia="en-GB"/>
        </w:rPr>
        <w:t xml:space="preserve">, joka sisältää mahdollisuuden suorittaa lyhyt tietokilpailu ja ansaita Every1-digitaalinen merkki.  </w:t>
      </w:r>
    </w:p>
    <w:p w14:paraId="6D0DD900" w14:textId="77777777" w:rsidR="00E21E10" w:rsidRDefault="00E21E10" w:rsidP="00866763">
      <w:pPr>
        <w:spacing w:after="0" w:line="240" w:lineRule="auto"/>
        <w:rPr>
          <w:rFonts w:eastAsia="Times New Roman" w:cstheme="minorHAnsi"/>
          <w:noProof/>
          <w:sz w:val="24"/>
          <w:szCs w:val="24"/>
          <w:lang w:val="fi-FI" w:eastAsia="en-GB"/>
        </w:rPr>
      </w:pPr>
    </w:p>
    <w:p w14:paraId="3BD69E3D" w14:textId="474ABE33" w:rsidR="00E21E10" w:rsidRPr="00E21E10" w:rsidRDefault="00E21E1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Tämä projekti on saanut rahoitusta Euroopan unionin Horisontti-tutkimus- ja innovaatio-ohjelmasta (2021–2027) avustussopimuksen nro 101075596 nojalla. Vastuu tämän kurssin sisällöstä on yksin Every1-projektilla, eikä se välttämättä heijasta Euroopan unionin kantaa.</w:t>
      </w:r>
    </w:p>
    <w:p w14:paraId="1CFBFD07" w14:textId="77777777" w:rsidR="005F3630" w:rsidRPr="00E21E10" w:rsidRDefault="005F3630" w:rsidP="00866763">
      <w:pPr>
        <w:spacing w:after="0" w:line="240" w:lineRule="auto"/>
        <w:rPr>
          <w:rFonts w:eastAsia="Times New Roman" w:cstheme="minorHAnsi"/>
          <w:noProof/>
          <w:sz w:val="24"/>
          <w:szCs w:val="24"/>
          <w:lang w:val="fi-FI" w:eastAsia="en-GB"/>
        </w:rPr>
      </w:pPr>
    </w:p>
    <w:p w14:paraId="0A26C319" w14:textId="77777777" w:rsidR="005F3630" w:rsidRPr="00E21E10" w:rsidRDefault="005F3630" w:rsidP="00A11537">
      <w:pPr>
        <w:pStyle w:val="Heading2"/>
        <w:rPr>
          <w:rFonts w:eastAsia="Times New Roman"/>
          <w:noProof/>
          <w:lang w:val="fi-FI" w:eastAsia="en-GB"/>
        </w:rPr>
      </w:pPr>
      <w:bookmarkStart w:id="2" w:name="_Toc223426067"/>
      <w:r w:rsidRPr="00E21E10">
        <w:rPr>
          <w:rFonts w:eastAsia="Times New Roman"/>
          <w:noProof/>
          <w:lang w:val="fi-FI" w:eastAsia="en-GB"/>
        </w:rPr>
        <w:t>Oppimistulokset</w:t>
      </w:r>
      <w:bookmarkEnd w:id="2"/>
    </w:p>
    <w:p w14:paraId="0C17497D" w14:textId="77777777" w:rsidR="005F3630" w:rsidRPr="00E21E10" w:rsidRDefault="005F3630" w:rsidP="00866763">
      <w:pPr>
        <w:spacing w:after="0" w:line="240" w:lineRule="auto"/>
        <w:rPr>
          <w:rFonts w:eastAsia="Times New Roman" w:cstheme="minorHAnsi"/>
          <w:noProof/>
          <w:sz w:val="24"/>
          <w:szCs w:val="24"/>
          <w:lang w:val="fi-FI" w:eastAsia="en-GB"/>
        </w:rPr>
      </w:pPr>
    </w:p>
    <w:p w14:paraId="746AE4BF"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Tämän lyhyen kurssin suoritettuasi sinun pitäisi pystyä</w:t>
      </w:r>
    </w:p>
    <w:p w14:paraId="43D67743" w14:textId="77777777" w:rsidR="005F3630" w:rsidRPr="00E21E10" w:rsidRDefault="005F3630" w:rsidP="00866763">
      <w:pPr>
        <w:spacing w:after="0" w:line="240" w:lineRule="auto"/>
        <w:rPr>
          <w:rFonts w:eastAsia="Times New Roman" w:cstheme="minorHAnsi"/>
          <w:noProof/>
          <w:sz w:val="24"/>
          <w:szCs w:val="24"/>
          <w:lang w:val="fi-FI" w:eastAsia="en-GB"/>
        </w:rPr>
      </w:pPr>
    </w:p>
    <w:p w14:paraId="15AA1331" w14:textId="77777777" w:rsidR="005F3630" w:rsidRPr="00E21E10" w:rsidRDefault="005F3630" w:rsidP="005F3630">
      <w:pPr>
        <w:numPr>
          <w:ilvl w:val="0"/>
          <w:numId w:val="65"/>
        </w:num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Erottaa toisistaan yksityisyyden, turvallisuuden ja tietoturvan energia-alan digitalisoinnissa.</w:t>
      </w:r>
    </w:p>
    <w:p w14:paraId="38AF0E13" w14:textId="77777777" w:rsidR="005F3630" w:rsidRPr="00E21E10" w:rsidRDefault="005F3630" w:rsidP="005F3630">
      <w:pPr>
        <w:numPr>
          <w:ilvl w:val="0"/>
          <w:numId w:val="65"/>
        </w:num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Ymmärtää tärkeimmät haasteet yksityisyyden, turvallisuuden ja tietoturvan varmistamisessa, kun digitaaliteknologiaa käytetään energiassa.</w:t>
      </w:r>
    </w:p>
    <w:p w14:paraId="2EBBCF7C" w14:textId="77777777" w:rsidR="005F3630" w:rsidRPr="00E21E10" w:rsidRDefault="005F3630" w:rsidP="005F3630">
      <w:pPr>
        <w:numPr>
          <w:ilvl w:val="0"/>
          <w:numId w:val="65"/>
        </w:num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Tietää yleisen tietosuoja-asetuksen (GDPR) mukaiset oikeutesi energiatietojen suhteen.</w:t>
      </w:r>
    </w:p>
    <w:p w14:paraId="7613A70E" w14:textId="77777777" w:rsidR="005F3630" w:rsidRPr="00E21E10" w:rsidRDefault="005F3630" w:rsidP="005F3630">
      <w:pPr>
        <w:numPr>
          <w:ilvl w:val="0"/>
          <w:numId w:val="65"/>
        </w:num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Sovellat käytännön neuvoja tietojesi suojaamiseksi ja digitaalisen energiaturvallisuutesi parantamiseksi.</w:t>
      </w:r>
    </w:p>
    <w:p w14:paraId="6AFCAA36" w14:textId="77777777" w:rsidR="005F3630" w:rsidRPr="00E21E10" w:rsidRDefault="005F3630" w:rsidP="00866763">
      <w:pPr>
        <w:spacing w:after="0" w:line="240" w:lineRule="auto"/>
        <w:rPr>
          <w:rFonts w:eastAsia="Times New Roman" w:cstheme="minorHAnsi"/>
          <w:b/>
          <w:bCs/>
          <w:noProof/>
          <w:sz w:val="24"/>
          <w:szCs w:val="24"/>
          <w:lang w:val="fi-FI" w:eastAsia="en-GB"/>
        </w:rPr>
      </w:pPr>
    </w:p>
    <w:p w14:paraId="1A012452" w14:textId="77777777" w:rsidR="005F3630" w:rsidRPr="00E21E10" w:rsidRDefault="005F3630" w:rsidP="00A11537">
      <w:pPr>
        <w:pStyle w:val="Heading2"/>
        <w:rPr>
          <w:rFonts w:eastAsia="Times New Roman"/>
          <w:noProof/>
          <w:lang w:val="fi-FI" w:eastAsia="en-GB"/>
        </w:rPr>
      </w:pPr>
      <w:bookmarkStart w:id="3" w:name="_Toc223426068"/>
      <w:r w:rsidRPr="00E21E10">
        <w:rPr>
          <w:rFonts w:eastAsia="Times New Roman"/>
          <w:noProof/>
          <w:lang w:val="fi-FI" w:eastAsia="en-GB"/>
        </w:rPr>
        <w:t>Johdanto</w:t>
      </w:r>
      <w:bookmarkEnd w:id="3"/>
    </w:p>
    <w:p w14:paraId="38DB2ABE"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Digitaalisten teknologioiden tullessa kiinteäksi osaksi elämäämme, yksityisyyden, turvallisuuden ja tietoturvan merkitys energiadigitalisaation yhteydessä kasvaa jatkuvasti. </w:t>
      </w:r>
    </w:p>
    <w:p w14:paraId="60D4F217" w14:textId="77777777" w:rsidR="005F3630" w:rsidRPr="00E21E10" w:rsidRDefault="005F3630" w:rsidP="00866763">
      <w:pPr>
        <w:spacing w:after="0" w:line="240" w:lineRule="auto"/>
        <w:rPr>
          <w:rFonts w:eastAsia="Times New Roman" w:cstheme="minorHAnsi"/>
          <w:noProof/>
          <w:sz w:val="24"/>
          <w:szCs w:val="24"/>
          <w:lang w:val="fi-FI" w:eastAsia="en-GB"/>
        </w:rPr>
      </w:pPr>
    </w:p>
    <w:p w14:paraId="645836DE"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Älykkäät mittarit, mobiilisovellukset ja muut digitaaliset laitteet keräävät ja jakavat tietoja energiatehokkuuden parantamiseksi, mutta tämä voi myös herättää huolta tietosuojasta ja tietoturvasta.</w:t>
      </w:r>
    </w:p>
    <w:p w14:paraId="273DCCAC"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Ennen kuin aloitamme, tarkastellaan tarkemmin, mitä tarkoitamme tietosuojalla, turvallisuudella ja tietoturvalla. Nämä ovat toisiinsa liittyviä, mutta erillisiä käsitteitä: </w:t>
      </w:r>
    </w:p>
    <w:p w14:paraId="08E1BD27" w14:textId="77777777" w:rsidR="005F3630" w:rsidRPr="00E21E10" w:rsidRDefault="005F3630" w:rsidP="00866763">
      <w:pPr>
        <w:spacing w:after="0" w:line="240" w:lineRule="auto"/>
        <w:rPr>
          <w:rFonts w:eastAsia="Times New Roman" w:cstheme="minorHAnsi"/>
          <w:noProof/>
          <w:sz w:val="24"/>
          <w:szCs w:val="24"/>
          <w:lang w:val="fi-FI" w:eastAsia="en-GB"/>
        </w:rPr>
      </w:pPr>
    </w:p>
    <w:p w14:paraId="57222C67" w14:textId="77777777" w:rsidR="005F3630" w:rsidRPr="00E21E10" w:rsidRDefault="005F3630" w:rsidP="005F3630">
      <w:pPr>
        <w:pStyle w:val="ListParagraph"/>
        <w:numPr>
          <w:ilvl w:val="0"/>
          <w:numId w:val="71"/>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Yksityisyys </w:t>
      </w:r>
      <w:r w:rsidRPr="00E21E10">
        <w:rPr>
          <w:rFonts w:eastAsia="Times New Roman" w:cstheme="minorHAnsi"/>
          <w:noProof/>
          <w:sz w:val="24"/>
          <w:szCs w:val="24"/>
          <w:lang w:val="fi-FI" w:eastAsia="en-GB"/>
        </w:rPr>
        <w:t xml:space="preserve">liittyy henkilötietojen suojaamiseen. </w:t>
      </w:r>
    </w:p>
    <w:p w14:paraId="550E3DD7" w14:textId="77777777" w:rsidR="005F3630" w:rsidRPr="00E21E10" w:rsidRDefault="005F3630" w:rsidP="005F3630">
      <w:pPr>
        <w:pStyle w:val="ListParagraph"/>
        <w:numPr>
          <w:ilvl w:val="0"/>
          <w:numId w:val="71"/>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Turvallisuus </w:t>
      </w:r>
      <w:r w:rsidRPr="00E21E10">
        <w:rPr>
          <w:rFonts w:eastAsia="Times New Roman" w:cstheme="minorHAnsi"/>
          <w:noProof/>
          <w:sz w:val="24"/>
          <w:szCs w:val="24"/>
          <w:lang w:val="fi-FI" w:eastAsia="en-GB"/>
        </w:rPr>
        <w:t xml:space="preserve">tarkoittaa sen varmistamista, että digitaalisten teknologioiden käyttö ei aiheuta fyysistä tai psyykkistä haittaa. </w:t>
      </w:r>
    </w:p>
    <w:p w14:paraId="1E673374" w14:textId="05EDA8F5" w:rsidR="005F3630" w:rsidRPr="00E21E10" w:rsidRDefault="00A24F98" w:rsidP="005F3630">
      <w:pPr>
        <w:pStyle w:val="ListParagraph"/>
        <w:numPr>
          <w:ilvl w:val="0"/>
          <w:numId w:val="71"/>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Tietoturva </w:t>
      </w:r>
      <w:r w:rsidR="005F3630" w:rsidRPr="00E21E10">
        <w:rPr>
          <w:rFonts w:eastAsia="Times New Roman" w:cstheme="minorHAnsi"/>
          <w:noProof/>
          <w:sz w:val="24"/>
          <w:szCs w:val="24"/>
          <w:lang w:val="fi-FI" w:eastAsia="en-GB"/>
        </w:rPr>
        <w:t>keskittyy tietojen suojaamiseen luvattomalta käytöltä tai hyökkäyksiltä.</w:t>
      </w:r>
    </w:p>
    <w:p w14:paraId="782DB484" w14:textId="77777777" w:rsidR="005F3630" w:rsidRPr="00E21E10" w:rsidRDefault="005F3630" w:rsidP="00866763">
      <w:pPr>
        <w:spacing w:after="0" w:line="240" w:lineRule="auto"/>
        <w:rPr>
          <w:rFonts w:eastAsia="Times New Roman" w:cstheme="minorHAnsi"/>
          <w:noProof/>
          <w:sz w:val="24"/>
          <w:szCs w:val="24"/>
          <w:lang w:val="fi-FI" w:eastAsia="en-GB"/>
        </w:rPr>
      </w:pPr>
    </w:p>
    <w:p w14:paraId="0C7321D2"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Tässä kurssissa tarkastelemme paitsi erilaisia haasteita, jotka liittyvät energian yksityisyyteen, turvallisuuteen ja tietoturvaan, myös toimia, joilla voit suojata itseäsi. Tarkastelemme myös, miten hallitukset ja energiantoimittajat suojelevat sinua ja tietojasi sekä infrastruktuuria, joka mahdollistaa digitaalisten teknologioiden käytön energian tuotannossa ja kulutuksessa.  </w:t>
      </w:r>
    </w:p>
    <w:p w14:paraId="37E51E20" w14:textId="77777777" w:rsidR="005F3630" w:rsidRPr="00E21E10" w:rsidRDefault="005F3630" w:rsidP="00866763">
      <w:pPr>
        <w:spacing w:after="0" w:line="240" w:lineRule="auto"/>
        <w:rPr>
          <w:rFonts w:eastAsia="Times New Roman" w:cstheme="minorHAnsi"/>
          <w:b/>
          <w:bCs/>
          <w:noProof/>
          <w:sz w:val="24"/>
          <w:szCs w:val="24"/>
          <w:lang w:val="fi-FI" w:eastAsia="en-GB"/>
        </w:rPr>
      </w:pPr>
    </w:p>
    <w:p w14:paraId="6BC18B3D" w14:textId="77777777" w:rsidR="005F3630" w:rsidRPr="00E21E10" w:rsidRDefault="005F3630" w:rsidP="00A11537">
      <w:pPr>
        <w:pStyle w:val="Heading2"/>
        <w:rPr>
          <w:rFonts w:eastAsia="Times New Roman"/>
          <w:noProof/>
          <w:lang w:val="fi-FI" w:eastAsia="en-GB"/>
        </w:rPr>
      </w:pPr>
      <w:bookmarkStart w:id="4" w:name="_Toc223426069"/>
      <w:r w:rsidRPr="00E21E10">
        <w:rPr>
          <w:rFonts w:eastAsia="Times New Roman"/>
          <w:noProof/>
          <w:lang w:val="fi-FI" w:eastAsia="en-GB"/>
        </w:rPr>
        <w:t>Digitaaliset teknologiat ja digitaalinen energiasiirtymä</w:t>
      </w:r>
      <w:bookmarkEnd w:id="4"/>
      <w:r w:rsidRPr="00E21E10">
        <w:rPr>
          <w:rFonts w:eastAsia="Times New Roman"/>
          <w:noProof/>
          <w:lang w:val="fi-FI" w:eastAsia="en-GB"/>
        </w:rPr>
        <w:t xml:space="preserve"> </w:t>
      </w:r>
    </w:p>
    <w:p w14:paraId="7B078649" w14:textId="77777777" w:rsidR="005F3630" w:rsidRPr="00E21E10" w:rsidRDefault="005F3630" w:rsidP="00866763">
      <w:pPr>
        <w:spacing w:after="0" w:line="240" w:lineRule="auto"/>
        <w:rPr>
          <w:rFonts w:eastAsia="Times New Roman" w:cstheme="minorHAnsi"/>
          <w:noProof/>
          <w:sz w:val="24"/>
          <w:szCs w:val="24"/>
          <w:lang w:val="fi-FI" w:eastAsia="en-GB"/>
        </w:rPr>
      </w:pPr>
    </w:p>
    <w:p w14:paraId="6AB7AAB5"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Kuten olet ehkä huomannut kurssilla </w:t>
      </w:r>
      <w:hyperlink r:id="rId18" w:history="1">
        <w:r w:rsidRPr="00E21E10">
          <w:rPr>
            <w:rStyle w:val="Hyperlink"/>
            <w:rFonts w:eastAsia="Times New Roman" w:cstheme="minorHAnsi"/>
            <w:i/>
            <w:iCs/>
            <w:noProof/>
            <w:sz w:val="24"/>
            <w:szCs w:val="24"/>
            <w:lang w:val="fi-FI" w:eastAsia="en-GB"/>
          </w:rPr>
          <w:t>Älylaitteet ja digitaalinen energiateknologia</w:t>
        </w:r>
      </w:hyperlink>
      <w:r w:rsidRPr="00E21E10">
        <w:rPr>
          <w:rFonts w:eastAsia="Times New Roman" w:cstheme="minorHAnsi"/>
          <w:i/>
          <w:iCs/>
          <w:noProof/>
          <w:sz w:val="24"/>
          <w:szCs w:val="24"/>
          <w:lang w:val="fi-FI" w:eastAsia="en-GB"/>
        </w:rPr>
        <w:t xml:space="preserve">, </w:t>
      </w:r>
      <w:r w:rsidRPr="00E21E10">
        <w:rPr>
          <w:rFonts w:eastAsia="Times New Roman" w:cstheme="minorHAnsi"/>
          <w:noProof/>
          <w:sz w:val="24"/>
          <w:szCs w:val="24"/>
          <w:lang w:val="fi-FI" w:eastAsia="en-GB"/>
        </w:rPr>
        <w:t xml:space="preserve">jossa tarkastellaan eri tyyppisiä älylaitteita syvällisemmin, on olemassa useita digitaalisia teknologioita, jotka tukevat energian digitalisointia. </w:t>
      </w:r>
    </w:p>
    <w:p w14:paraId="231CDC44" w14:textId="77777777" w:rsidR="005F3630" w:rsidRPr="00E21E10" w:rsidRDefault="005F3630" w:rsidP="00866763">
      <w:pPr>
        <w:spacing w:after="0" w:line="240" w:lineRule="auto"/>
        <w:rPr>
          <w:rFonts w:eastAsia="Times New Roman" w:cstheme="minorHAnsi"/>
          <w:noProof/>
          <w:sz w:val="24"/>
          <w:szCs w:val="24"/>
          <w:lang w:val="fi-FI" w:eastAsia="en-GB"/>
        </w:rPr>
      </w:pPr>
    </w:p>
    <w:p w14:paraId="253ACF82"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Digitaalinen energiaympäristö on monimutkainen ekosysteemi, joka koostuu toisiinsa liittyvistä teknologioista ja sidosryhmistä. Keskeisiä komponentteja ovat:  </w:t>
      </w:r>
    </w:p>
    <w:p w14:paraId="5C37678C" w14:textId="77777777" w:rsidR="005F3630" w:rsidRPr="00E21E10" w:rsidRDefault="005F3630" w:rsidP="00866763">
      <w:pPr>
        <w:spacing w:after="0" w:line="240" w:lineRule="auto"/>
        <w:rPr>
          <w:rFonts w:eastAsia="Times New Roman" w:cstheme="minorHAnsi"/>
          <w:noProof/>
          <w:sz w:val="24"/>
          <w:szCs w:val="24"/>
          <w:lang w:val="fi-FI" w:eastAsia="en-GB"/>
        </w:rPr>
      </w:pPr>
    </w:p>
    <w:p w14:paraId="548C3DF9" w14:textId="77777777" w:rsidR="005F3630" w:rsidRPr="00E21E10" w:rsidRDefault="005F3630" w:rsidP="005F3630">
      <w:pPr>
        <w:numPr>
          <w:ilvl w:val="0"/>
          <w:numId w:val="73"/>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Älykkäät mittarit: </w:t>
      </w:r>
      <w:r w:rsidRPr="00E21E10">
        <w:rPr>
          <w:rFonts w:eastAsia="Times New Roman" w:cstheme="minorHAnsi"/>
          <w:noProof/>
          <w:sz w:val="24"/>
          <w:szCs w:val="24"/>
          <w:lang w:val="fi-FI" w:eastAsia="en-GB"/>
        </w:rPr>
        <w:t>Laitteet, jotka keräävät ja lähettävät automaattisesti tietoja energiankulutuksesta energian toimittajille. Älykkäät mittarit tarjoavat tarkemman laskutuksen, tietoa kulutustottumuksista ja mahdollisuuden osallistua kysyntäjousto-ohjelmiin, joissa voit säätää energiankulutustasi kysynnän ja hinnoittelusignaalien perusteella.</w:t>
      </w:r>
    </w:p>
    <w:p w14:paraId="23326AAD" w14:textId="77777777" w:rsidR="005F3630" w:rsidRPr="00E21E10" w:rsidRDefault="005F3630" w:rsidP="005F3630">
      <w:pPr>
        <w:pStyle w:val="ListParagraph"/>
        <w:numPr>
          <w:ilvl w:val="0"/>
          <w:numId w:val="73"/>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Älykkäät sähköverkot: </w:t>
      </w:r>
      <w:r w:rsidRPr="00E21E10">
        <w:rPr>
          <w:rFonts w:eastAsia="Times New Roman" w:cstheme="minorHAnsi"/>
          <w:noProof/>
          <w:sz w:val="24"/>
          <w:szCs w:val="24"/>
          <w:lang w:val="fi-FI" w:eastAsia="en-GB"/>
        </w:rPr>
        <w:t xml:space="preserve">Modernisoidut sähköverkot, jotka käyttävät digitaalisia teknologioita sähkönkulutuksen seurantaan ja hallintaan. Ne mahdollistavat kaksisuuntaisen viestinnän sähköyhtiön ja kuluttajan välillä, mikä mahdollistaa </w:t>
      </w:r>
      <w:r w:rsidRPr="00E21E10">
        <w:rPr>
          <w:rFonts w:eastAsia="Times New Roman" w:cstheme="minorHAnsi"/>
          <w:noProof/>
          <w:sz w:val="24"/>
          <w:szCs w:val="24"/>
          <w:lang w:val="fi-FI" w:eastAsia="en-GB"/>
        </w:rPr>
        <w:lastRenderedPageBreak/>
        <w:t>energiankulutuksen reaaliaikaisen seurannan ja uusiutuvien energialähteiden integroinnin.</w:t>
      </w:r>
    </w:p>
    <w:p w14:paraId="603333EE" w14:textId="77777777" w:rsidR="005F3630" w:rsidRPr="00E21E10" w:rsidRDefault="005F3630" w:rsidP="005F3630">
      <w:pPr>
        <w:pStyle w:val="ListParagraph"/>
        <w:numPr>
          <w:ilvl w:val="0"/>
          <w:numId w:val="73"/>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Esineiden internet (IoT) energiassa: </w:t>
      </w:r>
      <w:r w:rsidRPr="00E21E10">
        <w:rPr>
          <w:rFonts w:eastAsia="Times New Roman" w:cstheme="minorHAnsi"/>
          <w:noProof/>
          <w:sz w:val="24"/>
          <w:szCs w:val="24"/>
          <w:lang w:val="fi-FI" w:eastAsia="en-GB"/>
        </w:rPr>
        <w:t xml:space="preserve">Verkkoon liitettyjen laitteiden (termostaatit, kodinkoneet, sähköautojen laturit) verkosto, joka kerää ja vaihtaa tietoja, mahdollistaen energiankäytön etäohjauksen ja optimoinnin. </w:t>
      </w:r>
    </w:p>
    <w:p w14:paraId="275C1D6F" w14:textId="77777777" w:rsidR="005F3630" w:rsidRPr="00E21E10" w:rsidRDefault="005F3630" w:rsidP="00866763">
      <w:pPr>
        <w:spacing w:after="0" w:line="240" w:lineRule="auto"/>
        <w:ind w:left="720"/>
        <w:rPr>
          <w:rFonts w:eastAsia="Times New Roman" w:cstheme="minorHAnsi"/>
          <w:noProof/>
          <w:sz w:val="24"/>
          <w:szCs w:val="24"/>
          <w:lang w:val="fi-FI" w:eastAsia="en-GB"/>
        </w:rPr>
      </w:pPr>
    </w:p>
    <w:p w14:paraId="13E1FB5A"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E21E10">
        <w:rPr>
          <w:rFonts w:eastAsia="Times New Roman" w:cstheme="minorHAnsi"/>
          <w:noProof/>
          <w:sz w:val="24"/>
          <w:szCs w:val="24"/>
          <w:lang w:val="fi-FI" w:eastAsia="en-GB"/>
        </w:rPr>
        <w:t xml:space="preserve">Energiatietoja voivat olla kulutustottumukset, käyttöaikatiedot, laitetason tiedot ja jopa käytöstä pääteltävät käyttäytymistiedot. Nämä tiedot voivat auttaa sinua ymmärtämään omaa energiankulutustasi, mahdollisesti säästämään rahaa ja tekemään tietoon perustuvia valintoja. Ne voivat myös auttaa energiantuottajia (kuten sähköntoimittajaasi) optimoimaan verkkoa, tarjoamaan sinulle yksilöllisiä palveluja ja havaitsemaan petoksia. </w:t>
      </w:r>
    </w:p>
    <w:p w14:paraId="5F745EDF" w14:textId="77777777" w:rsidR="005F3630" w:rsidRPr="00E21E10" w:rsidRDefault="005F3630" w:rsidP="00866763">
      <w:pPr>
        <w:spacing w:after="0" w:line="240" w:lineRule="auto"/>
        <w:rPr>
          <w:rFonts w:eastAsia="Times New Roman" w:cstheme="minorHAnsi"/>
          <w:noProof/>
          <w:sz w:val="24"/>
          <w:szCs w:val="24"/>
          <w:lang w:val="fi-FI" w:eastAsia="en-GB"/>
        </w:rPr>
      </w:pPr>
    </w:p>
    <w:p w14:paraId="0E686D2D"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Energiatietosi kerää yleensä energiantoimittajasi, mutta ne voivat myös olla mittarien operaattoreiden, tietojen kerääjien, kolmansien osapuolten palveluntarjoajien ja mahdollisesti viranomaisten saatavilla. Energiatiedot ovat hyödyllisiä esimerkiksi päätöksentekijöille, sillä ne tukevat tehokkaiden energiapolitiikkojen ja -säännösten kehittämistä. </w:t>
      </w:r>
    </w:p>
    <w:p w14:paraId="57311ADB" w14:textId="77777777" w:rsidR="005F3630" w:rsidRPr="00E21E10" w:rsidRDefault="005F3630" w:rsidP="00866763">
      <w:pPr>
        <w:spacing w:after="0" w:line="240" w:lineRule="auto"/>
        <w:rPr>
          <w:rFonts w:eastAsia="Times New Roman" w:cstheme="minorHAnsi"/>
          <w:noProof/>
          <w:sz w:val="24"/>
          <w:szCs w:val="24"/>
          <w:lang w:val="fi-FI" w:eastAsia="en-GB"/>
        </w:rPr>
      </w:pPr>
    </w:p>
    <w:p w14:paraId="11E036A7"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Energiankulutustiedot voivat sisältää arkaluonteisia tietoja. Koska useat eri organisaatiot voivat päästä käsiksi tietoihisi ja käyttää niitä eri tavoin, tämä voi herättää huolta. Kurssin myöhemmässä vaiheessa ehdotamme joitakin tapoja, joilla voit parantaa energiankulutustietojesi yksityisyyttä, turvallisuutta ja suojausta. Katsotaan ensin joitakin yleisiä kyberuhkia ja mitä tehdään digitaalisten järjestelmien turvallisuuden varmistamiseksi. </w:t>
      </w:r>
    </w:p>
    <w:p w14:paraId="619D5824" w14:textId="77777777" w:rsidR="005F3630" w:rsidRPr="00E21E10" w:rsidRDefault="005F3630" w:rsidP="00866763">
      <w:pPr>
        <w:spacing w:after="0" w:line="240" w:lineRule="auto"/>
        <w:rPr>
          <w:rFonts w:eastAsia="Times New Roman" w:cstheme="minorHAnsi"/>
          <w:noProof/>
          <w:sz w:val="24"/>
          <w:szCs w:val="24"/>
          <w:lang w:val="fi-FI" w:eastAsia="en-GB"/>
        </w:rPr>
      </w:pPr>
    </w:p>
    <w:p w14:paraId="6C4B551C" w14:textId="77777777" w:rsidR="005F3630" w:rsidRPr="00E21E10" w:rsidRDefault="005F3630" w:rsidP="00A11537">
      <w:pPr>
        <w:pStyle w:val="Heading2"/>
        <w:rPr>
          <w:rFonts w:eastAsia="Times New Roman"/>
          <w:noProof/>
          <w:lang w:val="fi-FI" w:eastAsia="en-GB"/>
        </w:rPr>
      </w:pPr>
      <w:bookmarkStart w:id="5" w:name="_Toc223426070"/>
      <w:r w:rsidRPr="00E21E10">
        <w:rPr>
          <w:rFonts w:eastAsia="Times New Roman"/>
          <w:noProof/>
          <w:lang w:val="fi-FI" w:eastAsia="en-GB"/>
        </w:rPr>
        <w:t>Kyberturvallisuus energia-alalla</w:t>
      </w:r>
      <w:bookmarkEnd w:id="5"/>
    </w:p>
    <w:p w14:paraId="210D12ED" w14:textId="77777777" w:rsidR="005F3630" w:rsidRPr="00E21E10" w:rsidRDefault="005F3630" w:rsidP="00866763">
      <w:pPr>
        <w:spacing w:after="0" w:line="240" w:lineRule="auto"/>
        <w:rPr>
          <w:rFonts w:eastAsia="Times New Roman" w:cstheme="minorHAnsi"/>
          <w:noProof/>
          <w:sz w:val="24"/>
          <w:szCs w:val="24"/>
          <w:lang w:val="fi-FI" w:eastAsia="en-GB"/>
        </w:rPr>
      </w:pPr>
    </w:p>
    <w:p w14:paraId="0D9BDC67"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Energia-alan digitaalinen muutos on tehnyt siitä kyberhyökkäysten kohteen, jotka voivat häiritä energian toimituksia ja vaarantaa arkaluonteisia tietoja. Yleisiä kyberuhkia ovat muun muassa</w:t>
      </w:r>
    </w:p>
    <w:p w14:paraId="2F6307C7" w14:textId="77777777" w:rsidR="005F3630" w:rsidRPr="00E21E10" w:rsidRDefault="005F3630" w:rsidP="00866763">
      <w:pPr>
        <w:spacing w:after="0" w:line="240" w:lineRule="auto"/>
        <w:rPr>
          <w:rFonts w:eastAsia="Times New Roman" w:cstheme="minorHAnsi"/>
          <w:noProof/>
          <w:sz w:val="24"/>
          <w:szCs w:val="24"/>
          <w:lang w:val="fi-FI" w:eastAsia="en-GB"/>
        </w:rPr>
      </w:pPr>
    </w:p>
    <w:p w14:paraId="052E2527" w14:textId="77777777" w:rsidR="005F3630" w:rsidRPr="00E21E10" w:rsidRDefault="005F3630" w:rsidP="005F3630">
      <w:pPr>
        <w:pStyle w:val="ListParagraph"/>
        <w:numPr>
          <w:ilvl w:val="0"/>
          <w:numId w:val="72"/>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Haittaohjelmat </w:t>
      </w:r>
      <w:r w:rsidRPr="00E21E10">
        <w:rPr>
          <w:rFonts w:eastAsiaTheme="minorEastAsia" w:cstheme="minorHAnsi"/>
          <w:noProof/>
          <w:sz w:val="24"/>
          <w:szCs w:val="24"/>
          <w:lang w:val="fi-FI" w:eastAsia="en-GB"/>
        </w:rPr>
        <w:t>(tietokonejärjestelmiä ja tietoja vahingoittavat haitalliset ohjelmat).</w:t>
      </w:r>
    </w:p>
    <w:p w14:paraId="56540410" w14:textId="77777777" w:rsidR="005F3630" w:rsidRPr="00E21E10" w:rsidRDefault="005F3630" w:rsidP="005F3630">
      <w:pPr>
        <w:pStyle w:val="ListParagraph"/>
        <w:numPr>
          <w:ilvl w:val="0"/>
          <w:numId w:val="72"/>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Lunnasohjelmat </w:t>
      </w:r>
      <w:r w:rsidRPr="00E21E10">
        <w:rPr>
          <w:rFonts w:eastAsiaTheme="minorEastAsia" w:cstheme="minorHAnsi"/>
          <w:noProof/>
          <w:sz w:val="24"/>
          <w:szCs w:val="24"/>
          <w:lang w:val="fi-FI" w:eastAsia="en-GB"/>
        </w:rPr>
        <w:t>(haittaohjelmat, jotka salaavat tiedostot, jolloin niihin ei pääse käsiksi, ja vaativat lunnaita pääsyn palauttamiseksi).</w:t>
      </w:r>
    </w:p>
    <w:p w14:paraId="702CAACF" w14:textId="77777777" w:rsidR="005F3630" w:rsidRPr="00E21E10" w:rsidRDefault="005F3630" w:rsidP="005F3630">
      <w:pPr>
        <w:pStyle w:val="ListParagraph"/>
        <w:numPr>
          <w:ilvl w:val="0"/>
          <w:numId w:val="72"/>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Palvelunestohyökkäykset </w:t>
      </w:r>
      <w:r w:rsidRPr="00E21E10">
        <w:rPr>
          <w:rFonts w:eastAsiaTheme="minorEastAsia" w:cstheme="minorHAnsi"/>
          <w:noProof/>
          <w:sz w:val="24"/>
          <w:szCs w:val="24"/>
          <w:lang w:val="fi-FI" w:eastAsia="en-GB"/>
        </w:rPr>
        <w:t>(näiden hyökkäysten tarkoituksena on ylikuormittaa järjestelmä tai verkko liikenteellä, jolloin se ei ole käytettävissä laillisten käyttäjien toimesta).</w:t>
      </w:r>
    </w:p>
    <w:p w14:paraId="7CA1AE99" w14:textId="77777777" w:rsidR="005F3630" w:rsidRPr="00E21E10" w:rsidRDefault="005F3630" w:rsidP="005F3630">
      <w:pPr>
        <w:pStyle w:val="ListParagraph"/>
        <w:numPr>
          <w:ilvl w:val="0"/>
          <w:numId w:val="72"/>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Phishing-huijaukset </w:t>
      </w:r>
      <w:r w:rsidRPr="00E21E10">
        <w:rPr>
          <w:rFonts w:eastAsia="Times New Roman" w:cstheme="minorHAnsi"/>
          <w:noProof/>
          <w:sz w:val="24"/>
          <w:szCs w:val="24"/>
          <w:lang w:val="fi-FI" w:eastAsia="en-GB"/>
        </w:rPr>
        <w:t>(petolliset yritykset hankkia arkaluonteisia tietoja, kuten salasanoja tai luottokorttitietoja, esittämällä olevansa luotettava taho)</w:t>
      </w:r>
      <w:r w:rsidRPr="00E21E10">
        <w:rPr>
          <w:rFonts w:eastAsiaTheme="minorEastAsia" w:cstheme="minorHAnsi"/>
          <w:noProof/>
          <w:sz w:val="24"/>
          <w:szCs w:val="24"/>
          <w:lang w:val="fi-FI" w:eastAsia="en-GB"/>
        </w:rPr>
        <w:t xml:space="preserve">. </w:t>
      </w:r>
    </w:p>
    <w:p w14:paraId="61B416E5" w14:textId="77777777" w:rsidR="005F3630" w:rsidRPr="00E21E10" w:rsidRDefault="005F3630" w:rsidP="00866763">
      <w:pPr>
        <w:pStyle w:val="ListParagraph"/>
        <w:spacing w:after="0" w:line="240" w:lineRule="auto"/>
        <w:rPr>
          <w:rFonts w:eastAsia="Times New Roman" w:cstheme="minorHAnsi"/>
          <w:noProof/>
          <w:sz w:val="24"/>
          <w:szCs w:val="24"/>
          <w:lang w:val="fi-FI" w:eastAsia="en-GB"/>
        </w:rPr>
      </w:pPr>
    </w:p>
    <w:p w14:paraId="54DF3E02"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lastRenderedPageBreak/>
        <w:t xml:space="preserve">Kriittisen infrastruktuurin suojaaminen edellyttää toimenpiteitä, kuten verkon segmentointia, jossa </w:t>
      </w:r>
      <w:r w:rsidRPr="00E21E10">
        <w:rPr>
          <w:rFonts w:eastAsia="Calibri" w:cstheme="minorHAnsi"/>
          <w:noProof/>
          <w:sz w:val="24"/>
          <w:szCs w:val="24"/>
          <w:lang w:val="fi-FI"/>
        </w:rPr>
        <w:t xml:space="preserve">suurempi verkko jaetaan pienempiin, erillisiin segmentteihin. Tämä rajoittaa kyberhyökkäysten leviämistä ja hillitsee mahdollisia vahinkoja, </w:t>
      </w:r>
      <w:r w:rsidRPr="00E21E10">
        <w:rPr>
          <w:rFonts w:eastAsia="Times New Roman" w:cstheme="minorHAnsi"/>
          <w:noProof/>
          <w:sz w:val="24"/>
          <w:szCs w:val="24"/>
          <w:lang w:val="fi-FI" w:eastAsia="en-GB"/>
        </w:rPr>
        <w:t xml:space="preserve">rajoittaa pääsyä ohjauslaitteisiin, havaitsee ja estää tunkeilijat sekä mahdollistaa räätälöidyn pääsyn ohjauslaitteisiin. </w:t>
      </w:r>
    </w:p>
    <w:p w14:paraId="135AC55F" w14:textId="77777777" w:rsidR="005F3630" w:rsidRPr="00E21E10" w:rsidRDefault="005F3630" w:rsidP="00866763">
      <w:pPr>
        <w:spacing w:after="0" w:line="240" w:lineRule="auto"/>
        <w:rPr>
          <w:rFonts w:eastAsia="Times New Roman" w:cstheme="minorHAnsi"/>
          <w:noProof/>
          <w:sz w:val="24"/>
          <w:szCs w:val="24"/>
          <w:lang w:val="fi-FI" w:eastAsia="en-GB"/>
        </w:rPr>
      </w:pPr>
    </w:p>
    <w:p w14:paraId="1C527D8B" w14:textId="77777777" w:rsidR="005F3630" w:rsidRPr="00E21E10" w:rsidRDefault="005F3630" w:rsidP="00866763">
      <w:pPr>
        <w:spacing w:after="0" w:line="240" w:lineRule="auto"/>
        <w:rPr>
          <w:rFonts w:eastAsia="Times New Roman" w:cstheme="minorHAnsi"/>
          <w:noProof/>
          <w:sz w:val="24"/>
          <w:szCs w:val="24"/>
          <w:lang w:val="fi-FI" w:eastAsia="en-GB"/>
        </w:rPr>
      </w:pPr>
      <w:hyperlink r:id="rId20">
        <w:r w:rsidRPr="00E21E10">
          <w:rPr>
            <w:rStyle w:val="Hyperlink"/>
            <w:rFonts w:eastAsia="Times New Roman" w:cstheme="minorHAnsi"/>
            <w:noProof/>
            <w:sz w:val="24"/>
            <w:szCs w:val="24"/>
            <w:lang w:val="fi-FI" w:eastAsia="en-GB"/>
          </w:rPr>
          <w:t>EU:n kyberturvallisuuslaki</w:t>
        </w:r>
      </w:hyperlink>
      <w:r w:rsidRPr="00E21E10">
        <w:rPr>
          <w:rFonts w:eastAsia="Times New Roman" w:cstheme="minorHAnsi"/>
          <w:noProof/>
          <w:sz w:val="24"/>
          <w:szCs w:val="24"/>
          <w:lang w:val="fi-FI" w:eastAsia="en-GB"/>
        </w:rPr>
        <w:t xml:space="preserve"> parantaa kyberturvallisuutta koko EU:ssa ja asettaa säännöt tuotteiden ja palvelujen turvallisuuden sertifioinnille. Digitaalisten energiajärjestelmien turvallisuuden varmistaminen on ratkaisevan tärkeää. Tähän sisältyy:</w:t>
      </w:r>
    </w:p>
    <w:p w14:paraId="23A70188" w14:textId="77777777" w:rsidR="005F3630" w:rsidRPr="00E21E10" w:rsidRDefault="005F3630" w:rsidP="00866763">
      <w:pPr>
        <w:spacing w:after="0" w:line="240" w:lineRule="auto"/>
        <w:rPr>
          <w:rFonts w:eastAsia="Times New Roman" w:cstheme="minorHAnsi"/>
          <w:noProof/>
          <w:sz w:val="24"/>
          <w:szCs w:val="24"/>
          <w:lang w:val="fi-FI" w:eastAsia="en-GB"/>
        </w:rPr>
      </w:pPr>
    </w:p>
    <w:p w14:paraId="58F2958C" w14:textId="77777777" w:rsidR="005F3630" w:rsidRPr="00E21E10" w:rsidRDefault="005F3630" w:rsidP="005F3630">
      <w:pPr>
        <w:numPr>
          <w:ilvl w:val="0"/>
          <w:numId w:val="67"/>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Kyberfysikaaliset järjestelmät: </w:t>
      </w:r>
      <w:r w:rsidRPr="00E21E10">
        <w:rPr>
          <w:rFonts w:eastAsia="Times New Roman" w:cstheme="minorHAnsi"/>
          <w:noProof/>
          <w:sz w:val="24"/>
          <w:szCs w:val="24"/>
          <w:lang w:val="fi-FI" w:eastAsia="en-GB"/>
        </w:rPr>
        <w:t>Näiden järjestelmien, joissa fyysistä infrastruktuuria hallitaan digitaalisesti, suojaaminen kyberhyökkäyksiltä, joilla voi olla todellisia seurauksia.</w:t>
      </w:r>
    </w:p>
    <w:p w14:paraId="6D5FFF36" w14:textId="77777777" w:rsidR="005F3630" w:rsidRPr="00E21E10" w:rsidRDefault="005F3630" w:rsidP="005F3630">
      <w:pPr>
        <w:numPr>
          <w:ilvl w:val="0"/>
          <w:numId w:val="67"/>
        </w:num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E21E10">
        <w:rPr>
          <w:rFonts w:eastAsia="Times New Roman" w:cstheme="minorHAnsi"/>
          <w:b/>
          <w:bCs/>
          <w:noProof/>
          <w:sz w:val="24"/>
          <w:szCs w:val="24"/>
          <w:lang w:val="fi-FI" w:eastAsia="en-GB"/>
        </w:rPr>
        <w:t xml:space="preserve">Turvallisuusstandardit: </w:t>
      </w:r>
      <w:r w:rsidRPr="00E21E10">
        <w:rPr>
          <w:rFonts w:eastAsia="Times New Roman" w:cstheme="minorHAnsi"/>
          <w:noProof/>
          <w:sz w:val="24"/>
          <w:szCs w:val="24"/>
          <w:lang w:val="fi-FI" w:eastAsia="en-GB"/>
        </w:rPr>
        <w:t xml:space="preserve">Digitaalisten laitteiden ja energiajärjestelmien turvallisen käytön ja ylläpidon varmistaminen noudattamalla EU:n turvallisuusstandardeja. </w:t>
      </w:r>
    </w:p>
    <w:p w14:paraId="16CEB547" w14:textId="77777777" w:rsidR="005F3630" w:rsidRPr="00E21E10" w:rsidRDefault="005F3630" w:rsidP="00866763">
      <w:pPr>
        <w:spacing w:after="0" w:line="240" w:lineRule="auto"/>
        <w:ind w:left="720"/>
        <w:rPr>
          <w:rFonts w:eastAsia="Times New Roman" w:cstheme="minorHAnsi"/>
          <w:noProof/>
          <w:sz w:val="24"/>
          <w:szCs w:val="24"/>
          <w:lang w:val="fi-FI" w:eastAsia="en-GB"/>
        </w:rPr>
      </w:pPr>
    </w:p>
    <w:p w14:paraId="130D259C" w14:textId="77777777" w:rsidR="005F3630" w:rsidRPr="00E21E10" w:rsidRDefault="005F3630" w:rsidP="00866763">
      <w:pPr>
        <w:spacing w:after="0" w:line="240" w:lineRule="auto"/>
        <w:rPr>
          <w:rFonts w:eastAsia="Times New Roman" w:cstheme="minorHAnsi"/>
          <w:noProof/>
          <w:sz w:val="24"/>
          <w:szCs w:val="24"/>
          <w:lang w:val="fi-FI" w:eastAsia="en-GB"/>
        </w:rPr>
      </w:pPr>
      <w:hyperlink r:id="rId22">
        <w:r w:rsidRPr="00E21E10">
          <w:rPr>
            <w:rStyle w:val="Hyperlink"/>
            <w:rFonts w:eastAsia="Times New Roman" w:cstheme="minorHAnsi"/>
            <w:noProof/>
            <w:sz w:val="24"/>
            <w:szCs w:val="24"/>
            <w:lang w:val="fi-FI" w:eastAsia="en-GB"/>
          </w:rPr>
          <w:t>Yleinen tietosuoja-asetus (GDPR)</w:t>
        </w:r>
      </w:hyperlink>
      <w:r w:rsidRPr="00E21E10">
        <w:rPr>
          <w:rFonts w:eastAsia="Times New Roman" w:cstheme="minorHAnsi"/>
          <w:noProof/>
          <w:sz w:val="24"/>
          <w:szCs w:val="24"/>
          <w:lang w:val="fi-FI" w:eastAsia="en-GB"/>
        </w:rPr>
        <w:t xml:space="preserve"> antaa sinulle erityisiä </w:t>
      </w:r>
      <w:hyperlink r:id="rId23" w:anchor=":~:text=object%20to%20the%20processing%20of,controller%20('data%20portability')%3B">
        <w:r w:rsidRPr="00E21E10">
          <w:rPr>
            <w:rStyle w:val="Hyperlink"/>
            <w:rFonts w:eastAsia="Times New Roman" w:cstheme="minorHAnsi"/>
            <w:noProof/>
            <w:sz w:val="24"/>
            <w:szCs w:val="24"/>
            <w:lang w:val="fi-FI" w:eastAsia="en-GB"/>
          </w:rPr>
          <w:t>oikeuksia</w:t>
        </w:r>
      </w:hyperlink>
      <w:r w:rsidRPr="00E21E10">
        <w:rPr>
          <w:rFonts w:eastAsia="Times New Roman" w:cstheme="minorHAnsi"/>
          <w:noProof/>
          <w:sz w:val="24"/>
          <w:szCs w:val="24"/>
          <w:lang w:val="fi-FI" w:eastAsia="en-GB"/>
        </w:rPr>
        <w:t xml:space="preserve"> henkilötietojesi, mukaan lukien energiatietojesi, suhteen. Nämä henkilötietojasi koskevat oikeudet ovat seuraavat: </w:t>
      </w:r>
    </w:p>
    <w:p w14:paraId="7A6889B7" w14:textId="77777777" w:rsidR="005F3630" w:rsidRPr="00E21E10" w:rsidRDefault="005F3630" w:rsidP="00866763">
      <w:pPr>
        <w:spacing w:after="0" w:line="240" w:lineRule="auto"/>
        <w:rPr>
          <w:rFonts w:eastAsia="Times New Roman" w:cstheme="minorHAnsi"/>
          <w:noProof/>
          <w:sz w:val="24"/>
          <w:szCs w:val="24"/>
          <w:lang w:val="fi-FI" w:eastAsia="en-GB"/>
        </w:rPr>
      </w:pPr>
    </w:p>
    <w:p w14:paraId="17782C97" w14:textId="77777777" w:rsidR="005F3630" w:rsidRPr="00E21E10" w:rsidRDefault="005F3630" w:rsidP="005F3630">
      <w:pPr>
        <w:numPr>
          <w:ilvl w:val="0"/>
          <w:numId w:val="66"/>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Oikeus saada pääsy tietoihin: </w:t>
      </w:r>
      <w:r w:rsidRPr="00E21E10">
        <w:rPr>
          <w:rFonts w:eastAsia="Times New Roman" w:cstheme="minorHAnsi"/>
          <w:noProof/>
          <w:sz w:val="24"/>
          <w:szCs w:val="24"/>
          <w:lang w:val="fi-FI" w:eastAsia="en-GB"/>
        </w:rPr>
        <w:t xml:space="preserve">Voit pyytää palveluntarjoajalta kopion energiatiedoistasi. </w:t>
      </w:r>
    </w:p>
    <w:p w14:paraId="7853611D" w14:textId="77777777" w:rsidR="005F3630" w:rsidRPr="00E21E10" w:rsidRDefault="005F3630" w:rsidP="005F3630">
      <w:pPr>
        <w:numPr>
          <w:ilvl w:val="0"/>
          <w:numId w:val="66"/>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Oikeus tietojen oikaisemiseen: </w:t>
      </w:r>
      <w:r w:rsidRPr="00E21E10">
        <w:rPr>
          <w:rFonts w:eastAsia="Times New Roman" w:cstheme="minorHAnsi"/>
          <w:noProof/>
          <w:sz w:val="24"/>
          <w:szCs w:val="24"/>
          <w:lang w:val="fi-FI" w:eastAsia="en-GB"/>
        </w:rPr>
        <w:t>Voit pyytää, että virheelliset tai puuttuvat tiedot korjataan tai päivitetään.</w:t>
      </w:r>
    </w:p>
    <w:p w14:paraId="31C18195" w14:textId="77777777" w:rsidR="005F3630" w:rsidRPr="00E21E10" w:rsidRDefault="005F3630" w:rsidP="005F3630">
      <w:pPr>
        <w:numPr>
          <w:ilvl w:val="0"/>
          <w:numId w:val="66"/>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Oikeus </w:t>
      </w:r>
      <w:r w:rsidRPr="00E21E10">
        <w:rPr>
          <w:rFonts w:eastAsia="Times New Roman" w:cstheme="minorHAnsi"/>
          <w:noProof/>
          <w:sz w:val="24"/>
          <w:szCs w:val="24"/>
          <w:lang w:val="fi-FI" w:eastAsia="en-GB"/>
        </w:rPr>
        <w:t>tietojen</w:t>
      </w:r>
      <w:r w:rsidRPr="00E21E10">
        <w:rPr>
          <w:rFonts w:eastAsia="Times New Roman" w:cstheme="minorHAnsi"/>
          <w:b/>
          <w:bCs/>
          <w:noProof/>
          <w:sz w:val="24"/>
          <w:szCs w:val="24"/>
          <w:lang w:val="fi-FI" w:eastAsia="en-GB"/>
        </w:rPr>
        <w:t xml:space="preserve"> poistamiseen: </w:t>
      </w:r>
      <w:r w:rsidRPr="00E21E10">
        <w:rPr>
          <w:rFonts w:eastAsia="Times New Roman" w:cstheme="minorHAnsi"/>
          <w:noProof/>
          <w:sz w:val="24"/>
          <w:szCs w:val="24"/>
          <w:lang w:val="fi-FI" w:eastAsia="en-GB"/>
        </w:rPr>
        <w:t xml:space="preserve">Voit pyytää tietojesi poistamista tietyissä olosuhteissa. </w:t>
      </w:r>
    </w:p>
    <w:p w14:paraId="67950845" w14:textId="77777777" w:rsidR="005F3630" w:rsidRPr="00E21E10" w:rsidRDefault="005F3630" w:rsidP="005F3630">
      <w:pPr>
        <w:numPr>
          <w:ilvl w:val="0"/>
          <w:numId w:val="66"/>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Oikeus käsittelyn rajoittamiseen: </w:t>
      </w:r>
      <w:r w:rsidRPr="00E21E10">
        <w:rPr>
          <w:rFonts w:eastAsia="Times New Roman" w:cstheme="minorHAnsi"/>
          <w:noProof/>
          <w:sz w:val="24"/>
          <w:szCs w:val="24"/>
          <w:lang w:val="fi-FI" w:eastAsia="en-GB"/>
        </w:rPr>
        <w:t>Voit rajoittaa tietojesi käyttöä.</w:t>
      </w:r>
    </w:p>
    <w:p w14:paraId="5B6B226C" w14:textId="77777777" w:rsidR="005F3630" w:rsidRPr="00E21E10" w:rsidRDefault="005F3630" w:rsidP="005F3630">
      <w:pPr>
        <w:numPr>
          <w:ilvl w:val="0"/>
          <w:numId w:val="66"/>
        </w:numPr>
        <w:spacing w:after="0" w:line="240" w:lineRule="auto"/>
        <w:rPr>
          <w:rFonts w:eastAsia="Times New Roman" w:cstheme="minorHAnsi"/>
          <w:b/>
          <w:bCs/>
          <w:noProof/>
          <w:sz w:val="24"/>
          <w:szCs w:val="24"/>
          <w:lang w:val="fi-FI" w:eastAsia="en-GB"/>
        </w:rPr>
      </w:pPr>
      <w:r w:rsidRPr="00E21E10">
        <w:rPr>
          <w:rFonts w:eastAsia="Times New Roman" w:cstheme="minorHAnsi"/>
          <w:b/>
          <w:bCs/>
          <w:noProof/>
          <w:sz w:val="24"/>
          <w:szCs w:val="24"/>
          <w:lang w:val="fi-FI" w:eastAsia="en-GB"/>
        </w:rPr>
        <w:t xml:space="preserve">Oikeus tietojen siirrettävyyteen: </w:t>
      </w:r>
      <w:r w:rsidRPr="00E21E10">
        <w:rPr>
          <w:rFonts w:eastAsia="Times New Roman" w:cstheme="minorHAnsi"/>
          <w:noProof/>
          <w:sz w:val="24"/>
          <w:szCs w:val="24"/>
          <w:lang w:val="fi-FI" w:eastAsia="en-GB"/>
        </w:rPr>
        <w:t>Voit saada tietosi siirrettävässä muodossa.</w:t>
      </w:r>
    </w:p>
    <w:p w14:paraId="38145D88" w14:textId="77777777" w:rsidR="005F3630" w:rsidRPr="00E21E10" w:rsidRDefault="005F3630" w:rsidP="00866763">
      <w:pPr>
        <w:spacing w:after="0" w:line="240" w:lineRule="auto"/>
        <w:ind w:left="720"/>
        <w:rPr>
          <w:rFonts w:eastAsia="Times New Roman" w:cstheme="minorHAnsi"/>
          <w:b/>
          <w:bCs/>
          <w:noProof/>
          <w:sz w:val="24"/>
          <w:szCs w:val="24"/>
          <w:lang w:val="fi-FI" w:eastAsia="en-GB"/>
        </w:rPr>
      </w:pPr>
    </w:p>
    <w:p w14:paraId="0054EB26" w14:textId="77777777" w:rsidR="005F3630" w:rsidRPr="00E21E10" w:rsidRDefault="005F3630" w:rsidP="00A11537">
      <w:pPr>
        <w:pStyle w:val="Heading2"/>
        <w:rPr>
          <w:rFonts w:eastAsia="Times New Roman"/>
          <w:noProof/>
          <w:lang w:val="fi-FI" w:eastAsia="en-GB"/>
        </w:rPr>
      </w:pPr>
      <w:bookmarkStart w:id="6" w:name="_Toc223426071"/>
      <w:r w:rsidRPr="00E21E10">
        <w:rPr>
          <w:rFonts w:eastAsia="Times New Roman"/>
          <w:noProof/>
          <w:lang w:val="fi-FI" w:eastAsia="en-GB"/>
        </w:rPr>
        <w:t>Energiatietojesi yksityisyyden, turvallisuuden ja suojan parantaminen</w:t>
      </w:r>
      <w:bookmarkEnd w:id="6"/>
    </w:p>
    <w:p w14:paraId="54CDC1E2" w14:textId="77777777" w:rsidR="005F3630" w:rsidRPr="00E21E10" w:rsidRDefault="005F3630" w:rsidP="00866763">
      <w:pPr>
        <w:spacing w:after="0" w:line="240" w:lineRule="auto"/>
        <w:rPr>
          <w:rFonts w:eastAsia="Times New Roman" w:cstheme="minorHAnsi"/>
          <w:b/>
          <w:bCs/>
          <w:noProof/>
          <w:sz w:val="24"/>
          <w:szCs w:val="24"/>
          <w:lang w:val="fi-FI" w:eastAsia="en-GB"/>
        </w:rPr>
      </w:pPr>
    </w:p>
    <w:p w14:paraId="7493D3F7"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Kun energian digitalisointi ja digitaalisten teknologioiden käyttö energiankulutuksen ja -tuotannon hallintaan yleistyvät, tässä on muutamia vinkkejä, joiden avulla voit parantaa energiasi yksityisyyttä, turvallisuutta ja tietoturvaa. </w:t>
      </w:r>
    </w:p>
    <w:p w14:paraId="6637A34A" w14:textId="77777777" w:rsidR="005F3630" w:rsidRPr="00E21E10" w:rsidRDefault="005F3630" w:rsidP="00866763">
      <w:pPr>
        <w:spacing w:after="0" w:line="240" w:lineRule="auto"/>
        <w:rPr>
          <w:rFonts w:eastAsia="Times New Roman" w:cstheme="minorHAnsi"/>
          <w:noProof/>
          <w:sz w:val="24"/>
          <w:szCs w:val="24"/>
          <w:lang w:val="fi-FI" w:eastAsia="en-GB"/>
        </w:rPr>
      </w:pPr>
    </w:p>
    <w:p w14:paraId="7F8031C2" w14:textId="77777777" w:rsidR="005F3630" w:rsidRPr="00E21E10" w:rsidRDefault="005F3630" w:rsidP="005F3630">
      <w:pPr>
        <w:numPr>
          <w:ilvl w:val="0"/>
          <w:numId w:val="68"/>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Suojaa älylaitteesi: </w:t>
      </w:r>
      <w:r w:rsidRPr="00E21E10">
        <w:rPr>
          <w:rFonts w:eastAsia="Times New Roman" w:cstheme="minorHAnsi"/>
          <w:noProof/>
          <w:sz w:val="24"/>
          <w:szCs w:val="24"/>
          <w:lang w:val="fi-FI" w:eastAsia="en-GB"/>
        </w:rPr>
        <w:t>Käytä vahvoja salasanoja, ota käyttöön kaksivaiheinen todennus ja pidä ohjelmistot ajan tasalla.</w:t>
      </w:r>
    </w:p>
    <w:p w14:paraId="7401E48C" w14:textId="77777777" w:rsidR="005F3630" w:rsidRPr="00E21E10" w:rsidRDefault="005F3630" w:rsidP="005F3630">
      <w:pPr>
        <w:numPr>
          <w:ilvl w:val="0"/>
          <w:numId w:val="68"/>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Suojaa verkko: </w:t>
      </w:r>
      <w:r w:rsidRPr="00E21E10">
        <w:rPr>
          <w:rFonts w:eastAsia="Times New Roman" w:cstheme="minorHAnsi"/>
          <w:noProof/>
          <w:sz w:val="24"/>
          <w:szCs w:val="24"/>
          <w:lang w:val="fi-FI" w:eastAsia="en-GB"/>
        </w:rPr>
        <w:t>Suojaa Wi-Fi-verkko, vältä julkisia Wi-Fi-verkkoja arkaluontoisissa toimissa ja harkitse palomuurin käyttöä.</w:t>
      </w:r>
    </w:p>
    <w:p w14:paraId="07A9BF7B" w14:textId="77777777" w:rsidR="005F3630" w:rsidRPr="00E21E10" w:rsidRDefault="005F3630" w:rsidP="005F3630">
      <w:pPr>
        <w:numPr>
          <w:ilvl w:val="0"/>
          <w:numId w:val="68"/>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Hallitse tietojasi: </w:t>
      </w:r>
      <w:r w:rsidRPr="00E21E10">
        <w:rPr>
          <w:rFonts w:eastAsia="Times New Roman" w:cstheme="minorHAnsi"/>
          <w:noProof/>
          <w:sz w:val="24"/>
          <w:szCs w:val="24"/>
          <w:lang w:val="fi-FI" w:eastAsia="en-GB"/>
        </w:rPr>
        <w:t>Lue tietosuojakäytännöt huolellisesti, käytä GDPR-oikeuksiasi ja kieltäydy tietojen jakamisesta, jos se tuntuu epämukavalta.</w:t>
      </w:r>
    </w:p>
    <w:p w14:paraId="16238576" w14:textId="77777777" w:rsidR="005F3630" w:rsidRPr="00E21E10" w:rsidRDefault="005F3630" w:rsidP="00866763">
      <w:pPr>
        <w:spacing w:after="0" w:line="240" w:lineRule="auto"/>
        <w:ind w:left="720"/>
        <w:rPr>
          <w:rFonts w:eastAsia="Times New Roman" w:cstheme="minorHAnsi"/>
          <w:noProof/>
          <w:sz w:val="24"/>
          <w:szCs w:val="24"/>
          <w:lang w:val="fi-FI" w:eastAsia="en-GB"/>
        </w:rPr>
      </w:pPr>
    </w:p>
    <w:p w14:paraId="6BC3C70C"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lastRenderedPageBreak/>
        <w:t xml:space="preserve">Digitaalinen energiaympäristö kehittyy jatkuvasti, ja uusia teknologioita ja uhkia syntyy säännöllisesti. On tärkeää pysyä ajan tasalla näistä trendeistä, jotta voit varmistaa yksityisyytesi, turvallisuutesi ja tietoturvasi. </w:t>
      </w:r>
    </w:p>
    <w:p w14:paraId="50B806A1" w14:textId="77777777" w:rsidR="005F3630" w:rsidRPr="00E21E10" w:rsidRDefault="005F3630" w:rsidP="00866763">
      <w:pPr>
        <w:spacing w:after="0" w:line="240" w:lineRule="auto"/>
        <w:rPr>
          <w:rFonts w:eastAsia="Times New Roman" w:cstheme="minorHAnsi"/>
          <w:noProof/>
          <w:sz w:val="24"/>
          <w:szCs w:val="24"/>
          <w:lang w:val="fi-FI" w:eastAsia="en-GB"/>
        </w:rPr>
      </w:pPr>
    </w:p>
    <w:p w14:paraId="3EE31E4A"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Seuraavassa on muutamia esimerkkejä uusista teknologioista, jotka ovat tai voivat tulevaisuudessa olla keskeisessä roolissa energian digitalisoinnissa: </w:t>
      </w:r>
    </w:p>
    <w:p w14:paraId="2A0DC185" w14:textId="77777777" w:rsidR="005F3630" w:rsidRPr="00E21E10" w:rsidRDefault="005F3630" w:rsidP="00866763">
      <w:pPr>
        <w:spacing w:after="0" w:line="240" w:lineRule="auto"/>
        <w:rPr>
          <w:rFonts w:eastAsia="Times New Roman" w:cstheme="minorHAnsi"/>
          <w:noProof/>
          <w:sz w:val="24"/>
          <w:szCs w:val="24"/>
          <w:lang w:val="fi-FI" w:eastAsia="en-GB"/>
        </w:rPr>
      </w:pPr>
    </w:p>
    <w:p w14:paraId="6CC5CD7A" w14:textId="77777777" w:rsidR="005F3630" w:rsidRPr="00E21E10" w:rsidRDefault="005F3630" w:rsidP="005F3630">
      <w:pPr>
        <w:numPr>
          <w:ilvl w:val="0"/>
          <w:numId w:val="70"/>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Lohkoketjuteknologia: </w:t>
      </w:r>
      <w:r w:rsidRPr="00E21E10">
        <w:rPr>
          <w:rFonts w:eastAsia="Times New Roman" w:cstheme="minorHAnsi"/>
          <w:noProof/>
          <w:sz w:val="24"/>
          <w:szCs w:val="24"/>
          <w:lang w:val="fi-FI" w:eastAsia="en-GB"/>
        </w:rPr>
        <w:t>Lohkoketju, hajautettu tilikirjatekniikka, voi mullistaa energian tietojen hallinnan tarjoamalla turvallisen, läpinäkyvän ja väärentämättömän tavan seurata ja jakaa tietoja.</w:t>
      </w:r>
    </w:p>
    <w:p w14:paraId="7B68AA11" w14:textId="77777777" w:rsidR="005F3630" w:rsidRPr="00E21E10" w:rsidRDefault="005F3630" w:rsidP="005F3630">
      <w:pPr>
        <w:numPr>
          <w:ilvl w:val="0"/>
          <w:numId w:val="70"/>
        </w:num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E21E10">
        <w:rPr>
          <w:rFonts w:eastAsia="Times New Roman" w:cstheme="minorHAnsi"/>
          <w:b/>
          <w:bCs/>
          <w:noProof/>
          <w:sz w:val="24"/>
          <w:szCs w:val="24"/>
          <w:lang w:val="fi-FI" w:eastAsia="en-GB"/>
        </w:rPr>
        <w:t xml:space="preserve">Tekoäly (AI) ja koneoppiminen (ML): </w:t>
      </w:r>
      <w:r w:rsidRPr="00E21E10">
        <w:rPr>
          <w:rFonts w:eastAsia="Times New Roman" w:cstheme="minorHAnsi"/>
          <w:noProof/>
          <w:sz w:val="24"/>
          <w:szCs w:val="24"/>
          <w:lang w:val="fi-FI" w:eastAsia="en-GB"/>
        </w:rPr>
        <w:t>AI- ja ML-algoritmeja voidaan käyttää energiatietojen analysointiin, poikkeamien havaitsemiseen ja mahdollisten turvallisuusuhkien ennustamiseen, mikä parantaa energiajärjestelmien yleistä turvallisuutta.</w:t>
      </w:r>
    </w:p>
    <w:p w14:paraId="79514BFA" w14:textId="77777777" w:rsidR="005F3630" w:rsidRPr="00E21E10" w:rsidRDefault="005F3630" w:rsidP="005F3630">
      <w:pPr>
        <w:numPr>
          <w:ilvl w:val="0"/>
          <w:numId w:val="70"/>
        </w:numPr>
        <w:spacing w:after="0" w:line="240" w:lineRule="auto"/>
        <w:rPr>
          <w:rFonts w:eastAsia="Times New Roman" w:cstheme="minorHAnsi"/>
          <w:noProof/>
          <w:sz w:val="24"/>
          <w:szCs w:val="24"/>
          <w:lang w:val="fi-FI" w:eastAsia="en-GB"/>
        </w:rPr>
      </w:pPr>
      <w:r w:rsidRPr="00E21E10">
        <w:rPr>
          <w:rFonts w:eastAsia="Times New Roman" w:cstheme="minorHAnsi"/>
          <w:b/>
          <w:bCs/>
          <w:noProof/>
          <w:sz w:val="24"/>
          <w:szCs w:val="24"/>
          <w:lang w:val="fi-FI" w:eastAsia="en-GB"/>
        </w:rPr>
        <w:t xml:space="preserve">Kvanttilaskenta: </w:t>
      </w:r>
      <w:r w:rsidRPr="00E21E10">
        <w:rPr>
          <w:rFonts w:eastAsia="Times New Roman" w:cstheme="minorHAnsi"/>
          <w:noProof/>
          <w:sz w:val="24"/>
          <w:szCs w:val="24"/>
          <w:lang w:val="fi-FI" w:eastAsia="en-GB"/>
        </w:rPr>
        <w:t>Vaikka kvanttilaskenta on vielä alkuvaiheessa, sillä on potentiaalia mullistaa nykyiset salausmenetelmät, mikä asettaa uuden haasteen energiasektorin tietoturvalle.</w:t>
      </w:r>
    </w:p>
    <w:p w14:paraId="3EDCB520" w14:textId="77777777" w:rsidR="005F3630" w:rsidRPr="00E21E10" w:rsidRDefault="005F3630" w:rsidP="00866763">
      <w:pPr>
        <w:spacing w:after="0" w:line="240" w:lineRule="auto"/>
        <w:ind w:left="720"/>
        <w:rPr>
          <w:rFonts w:eastAsia="Times New Roman" w:cstheme="minorHAnsi"/>
          <w:noProof/>
          <w:sz w:val="24"/>
          <w:szCs w:val="24"/>
          <w:lang w:val="fi-FI" w:eastAsia="en-GB"/>
        </w:rPr>
      </w:pPr>
    </w:p>
    <w:p w14:paraId="341D577B" w14:textId="77777777" w:rsidR="005F3630" w:rsidRPr="00E21E10" w:rsidRDefault="005F3630" w:rsidP="00A11537">
      <w:pPr>
        <w:pStyle w:val="Heading2"/>
        <w:rPr>
          <w:noProof/>
          <w:lang w:val="fi-FI"/>
        </w:rPr>
      </w:pPr>
      <w:bookmarkStart w:id="7" w:name="_Toc223426072"/>
      <w:r w:rsidRPr="00E21E10">
        <w:rPr>
          <w:noProof/>
          <w:lang w:val="fi-FI"/>
        </w:rPr>
        <w:t>Johtopäätös</w:t>
      </w:r>
      <w:bookmarkEnd w:id="7"/>
      <w:r w:rsidRPr="00E21E10">
        <w:rPr>
          <w:noProof/>
          <w:lang w:val="fi-FI"/>
        </w:rPr>
        <w:t xml:space="preserve"> </w:t>
      </w:r>
    </w:p>
    <w:p w14:paraId="64B1CEC4" w14:textId="77777777" w:rsidR="005F3630" w:rsidRPr="00E21E10" w:rsidRDefault="005F3630" w:rsidP="00866763">
      <w:pPr>
        <w:spacing w:after="0" w:line="240" w:lineRule="auto"/>
        <w:rPr>
          <w:rFonts w:eastAsia="Times New Roman" w:cstheme="minorHAnsi"/>
          <w:noProof/>
          <w:sz w:val="24"/>
          <w:szCs w:val="24"/>
          <w:lang w:val="fi-FI" w:eastAsia="en-GB"/>
        </w:rPr>
      </w:pPr>
    </w:p>
    <w:p w14:paraId="1456212E"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Energia-alan digitaalinen muutos tarjoaa valtavia mahdollisuuksia entistä kestävämmälle, tehokkaammalle ja asiakaslähtöisemmälle energiajärjestelmälle. Tämän muutoksen edut voidaan kuitenkin toteuttaa täysimääräisesti vain, jos käsittelemme aktiivisesti ja jatkuvasti energia-alan tietosuojaan, turvallisuuteen ja tietoturvaan liittyviä haasteita.</w:t>
      </w:r>
    </w:p>
    <w:p w14:paraId="47438B5F" w14:textId="77777777" w:rsidR="005F3630" w:rsidRPr="00E21E10" w:rsidRDefault="005F3630" w:rsidP="00866763">
      <w:pPr>
        <w:spacing w:after="0" w:line="240" w:lineRule="auto"/>
        <w:rPr>
          <w:rFonts w:eastAsia="Times New Roman" w:cstheme="minorHAnsi"/>
          <w:noProof/>
          <w:sz w:val="24"/>
          <w:szCs w:val="24"/>
          <w:lang w:val="fi-FI" w:eastAsia="en-GB"/>
        </w:rPr>
      </w:pPr>
    </w:p>
    <w:p w14:paraId="0546950E"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Energiakuluttajina meillä on tärkeä rooli turvallisen digitaalisen energiatulevaisuuden muovaamisessa. Ymmärtämällä GDPR:n mukaiset oikeutemme, ryhtymällä ennakoiviin toimiin tietojemme suojaamiseksi ja valitsemalla energiantoimittajat ja palveluntarjoajat, jotka asettavat yksityisyyden ja turvallisuuden etusijalle, voimme varmistaa, että henkilökohtaiset tietomme pysyvät suojattuina. Lisäksi pysymällä ajan tasalla kyberturvallisuusuhkista ja parhaista käytännöistä voimme auttaa suojelemaan energiainfrastruktuuria, josta me kaikki olemme riippuvaisia.</w:t>
      </w:r>
    </w:p>
    <w:p w14:paraId="7FD0EFE2" w14:textId="77777777" w:rsidR="005F3630" w:rsidRPr="00E21E10" w:rsidRDefault="005F3630" w:rsidP="00866763">
      <w:pPr>
        <w:spacing w:after="0" w:line="240" w:lineRule="auto"/>
        <w:rPr>
          <w:rFonts w:eastAsia="Times New Roman" w:cstheme="minorHAnsi"/>
          <w:noProof/>
          <w:sz w:val="24"/>
          <w:szCs w:val="24"/>
          <w:lang w:val="fi-FI" w:eastAsia="en-GB"/>
        </w:rPr>
      </w:pPr>
    </w:p>
    <w:p w14:paraId="0D8F9AFB" w14:textId="77777777" w:rsidR="005F3630" w:rsidRPr="00E21E10" w:rsidRDefault="005F3630" w:rsidP="00A11537">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Siirtyminen digitaaliseen energiajärjestelmään ei koske vain teknologiaa, vaan myös yksilöiden ja yhteisöjen voimaannuttamista osallistumaan aktiivisesti digitaaliseen energiasiirtymään. Ottamalla käyttöön digitaaliset työkalut ja tekemällä tietoisia valintoja voimme edistää puhtaampaa, luotettavampaa ja oikeudenmukaisempaa energiatulevaisuutta.</w:t>
      </w:r>
    </w:p>
    <w:p w14:paraId="5939359F" w14:textId="77777777" w:rsidR="005F3630" w:rsidRPr="00E21E10" w:rsidRDefault="005F3630" w:rsidP="00A11537">
      <w:pPr>
        <w:spacing w:after="0" w:line="240" w:lineRule="auto"/>
        <w:rPr>
          <w:rFonts w:eastAsia="Times New Roman" w:cstheme="minorHAnsi"/>
          <w:noProof/>
          <w:sz w:val="24"/>
          <w:szCs w:val="24"/>
          <w:lang w:val="fi-FI" w:eastAsia="en-GB"/>
        </w:rPr>
      </w:pPr>
    </w:p>
    <w:p w14:paraId="02CAF593" w14:textId="77777777" w:rsidR="005F3630" w:rsidRPr="00E21E10" w:rsidRDefault="005F3630" w:rsidP="00A11537">
      <w:pPr>
        <w:pStyle w:val="Heading2"/>
        <w:rPr>
          <w:rFonts w:eastAsia="Times New Roman"/>
          <w:noProof/>
          <w:lang w:val="fi-FI" w:eastAsia="en-GB"/>
        </w:rPr>
      </w:pPr>
      <w:bookmarkStart w:id="8" w:name="_Toc223426073"/>
      <w:r w:rsidRPr="00E21E10">
        <w:rPr>
          <w:rFonts w:eastAsia="Times New Roman"/>
          <w:noProof/>
          <w:lang w:val="fi-FI" w:eastAsia="en-GB"/>
        </w:rPr>
        <w:t>Lisätietoja</w:t>
      </w:r>
      <w:bookmarkEnd w:id="8"/>
    </w:p>
    <w:p w14:paraId="3F3BAF97" w14:textId="77777777" w:rsidR="005F3630" w:rsidRPr="00E21E10" w:rsidRDefault="005F3630" w:rsidP="00866763">
      <w:pPr>
        <w:spacing w:after="0" w:line="240" w:lineRule="auto"/>
        <w:rPr>
          <w:rFonts w:eastAsia="Times New Roman" w:cstheme="minorHAnsi"/>
          <w:noProof/>
          <w:sz w:val="24"/>
          <w:szCs w:val="24"/>
          <w:lang w:val="fi-FI" w:eastAsia="en-GB"/>
        </w:rPr>
      </w:pPr>
    </w:p>
    <w:p w14:paraId="6FCC0D9F" w14:textId="77777777" w:rsidR="005F3630" w:rsidRPr="00E21E10"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fi-FI"/>
        </w:rPr>
      </w:pPr>
      <w:r w:rsidRPr="00E21E10">
        <w:rPr>
          <w:rStyle w:val="normaltextrun"/>
          <w:rFonts w:asciiTheme="minorHAnsi" w:eastAsiaTheme="majorEastAsia" w:hAnsiTheme="minorHAnsi" w:cstheme="minorHAnsi"/>
          <w:noProof/>
          <w:color w:val="1F1F1F"/>
          <w:lang w:val="fi-FI"/>
        </w:rPr>
        <w:lastRenderedPageBreak/>
        <w:t xml:space="preserve">Lue lisää EU:n tietosuojasäännösten mukaisista oikeuksistasi kohdasta </w:t>
      </w:r>
      <w:r w:rsidRPr="00E21E10">
        <w:rPr>
          <w:rStyle w:val="normaltextrun"/>
          <w:rFonts w:asciiTheme="minorHAnsi" w:eastAsiaTheme="majorEastAsia" w:hAnsiTheme="minorHAnsi" w:cstheme="minorHAnsi"/>
          <w:i/>
          <w:iCs/>
          <w:noProof/>
          <w:color w:val="1F1F1F"/>
          <w:lang w:val="fi-FI"/>
        </w:rPr>
        <w:t xml:space="preserve">Mitkä ovat oikeuteni? </w:t>
      </w:r>
      <w:r w:rsidRPr="00E21E10">
        <w:rPr>
          <w:rStyle w:val="Hyperlink"/>
          <w:rFonts w:asciiTheme="minorHAnsi" w:eastAsiaTheme="majorEastAsia" w:hAnsiTheme="minorHAnsi" w:cstheme="minorHAnsi"/>
          <w:noProof/>
          <w:lang w:val="fi-FI"/>
        </w:rPr>
        <w:t xml:space="preserve"> https://commission.europa.eu/law/law-topic/data-protection/reform/rights-citizens/my-rights/what-are-my-rights_en#:~:text=object%20to%20the%20processing%20of,controller%20(‘data%20portability’)%3B </w:t>
      </w:r>
    </w:p>
    <w:p w14:paraId="02336E79" w14:textId="77777777" w:rsidR="005F3630" w:rsidRPr="00E21E10"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fi-FI"/>
        </w:rPr>
      </w:pPr>
      <w:r w:rsidRPr="00E21E10">
        <w:rPr>
          <w:rStyle w:val="normaltextrun"/>
          <w:rFonts w:eastAsia="Times New Roman" w:cstheme="minorHAnsi"/>
          <w:noProof/>
          <w:sz w:val="24"/>
          <w:szCs w:val="24"/>
          <w:lang w:val="fi-FI" w:eastAsia="en-GB"/>
        </w:rPr>
        <w:t>Lue lisää EU:n kyberturvallisuuslaista ja siitä, miten se suojaa sinua</w:t>
      </w:r>
      <w:hyperlink r:id="rId25" w:tgtFrame="_blank" w:history="1">
        <w:r w:rsidRPr="00E21E10">
          <w:rPr>
            <w:rStyle w:val="normaltextrun"/>
            <w:rFonts w:cstheme="minorHAnsi"/>
            <w:noProof/>
            <w:color w:val="0000FF"/>
            <w:sz w:val="24"/>
            <w:szCs w:val="24"/>
            <w:u w:val="single"/>
            <w:lang w:val="fi-FI"/>
          </w:rPr>
          <w:t xml:space="preserve"> https://digital-strategy.ec.europa.eu/en/policies/cybersecurity-act</w:t>
        </w:r>
      </w:hyperlink>
      <w:r w:rsidRPr="00E21E10">
        <w:rPr>
          <w:rStyle w:val="normaltextrun"/>
          <w:rFonts w:cstheme="minorHAnsi"/>
          <w:noProof/>
          <w:color w:val="1F1F1F"/>
          <w:sz w:val="24"/>
          <w:szCs w:val="24"/>
          <w:lang w:val="fi-FI"/>
        </w:rPr>
        <w:t xml:space="preserve">  </w:t>
      </w:r>
    </w:p>
    <w:p w14:paraId="0A21C60B" w14:textId="77777777" w:rsidR="005F3630" w:rsidRPr="00E21E10"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fi-FI"/>
        </w:rPr>
      </w:pPr>
      <w:r w:rsidRPr="00E21E10">
        <w:rPr>
          <w:rStyle w:val="normaltextrun"/>
          <w:rFonts w:eastAsia="Times New Roman" w:cstheme="minorHAnsi"/>
          <w:noProof/>
          <w:sz w:val="24"/>
          <w:szCs w:val="24"/>
          <w:lang w:val="fi-FI" w:eastAsia="en-GB"/>
        </w:rPr>
        <w:t>Tutustu älykkäiden sähköverkkojen ja älymittareiden tietosuojavaikutusten arviointiin (DPIA).</w:t>
      </w:r>
      <w:hyperlink r:id="rId26" w:history="1">
        <w:r w:rsidRPr="00E21E10">
          <w:rPr>
            <w:rStyle w:val="Hyperlink"/>
            <w:rFonts w:cstheme="minorHAnsi"/>
            <w:noProof/>
            <w:sz w:val="24"/>
            <w:szCs w:val="24"/>
            <w:lang w:val="fi-FI"/>
          </w:rPr>
          <w:t xml:space="preserve"> https://energy.ec.europa.eu/topics/markets-and-consumers/smart-grids-and-meters/data-protection-impact-assessment-smart-grid-and-smart-metering-environment_en</w:t>
        </w:r>
      </w:hyperlink>
      <w:r w:rsidRPr="00E21E10">
        <w:rPr>
          <w:rStyle w:val="normaltextrun"/>
          <w:rFonts w:cstheme="minorHAnsi"/>
          <w:noProof/>
          <w:color w:val="1F1F1F"/>
          <w:sz w:val="24"/>
          <w:szCs w:val="24"/>
          <w:lang w:val="fi-FI"/>
        </w:rPr>
        <w:t xml:space="preserve"> </w:t>
      </w:r>
    </w:p>
    <w:p w14:paraId="4CB73C4F" w14:textId="77777777" w:rsidR="005F3630" w:rsidRPr="00E21E10"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fi-FI" w:eastAsia="en-GB"/>
        </w:rPr>
      </w:pPr>
      <w:r w:rsidRPr="00E21E10">
        <w:rPr>
          <w:rStyle w:val="normaltextrun"/>
          <w:rFonts w:cstheme="minorHAnsi"/>
          <w:noProof/>
          <w:color w:val="1F1F1F"/>
          <w:sz w:val="24"/>
          <w:szCs w:val="24"/>
          <w:lang w:val="fi-FI"/>
        </w:rPr>
        <w:t xml:space="preserve">Lue lisää siitä, miten Euroopan komissio suojelee meitä, tästä artikkelista </w:t>
      </w:r>
      <w:r w:rsidRPr="00E21E10">
        <w:rPr>
          <w:rStyle w:val="normaltextrun"/>
          <w:rFonts w:cstheme="minorHAnsi"/>
          <w:i/>
          <w:iCs/>
          <w:noProof/>
          <w:color w:val="1F1F1F"/>
          <w:sz w:val="24"/>
          <w:szCs w:val="24"/>
          <w:lang w:val="fi-FI"/>
        </w:rPr>
        <w:t>kriittisestä infrastruktuurista ja kyberturvallisuudesta.</w:t>
      </w:r>
      <w:hyperlink r:id="rId27">
        <w:r w:rsidRPr="00E21E10">
          <w:rPr>
            <w:rStyle w:val="Hyperlink"/>
            <w:rFonts w:cstheme="minorHAnsi"/>
            <w:noProof/>
            <w:sz w:val="24"/>
            <w:szCs w:val="24"/>
            <w:lang w:val="fi-FI"/>
          </w:rPr>
          <w:t xml:space="preserve"> https://energy.ec.europa.eu/topics/energy-security/critical-infrastructure-and-cybersecurity_en</w:t>
        </w:r>
      </w:hyperlink>
    </w:p>
    <w:p w14:paraId="2C9188E5" w14:textId="77777777" w:rsidR="005F3630" w:rsidRPr="00E21E10" w:rsidRDefault="005F3630" w:rsidP="00866763">
      <w:pPr>
        <w:spacing w:after="0" w:line="240" w:lineRule="auto"/>
        <w:rPr>
          <w:rFonts w:eastAsia="Times New Roman" w:cstheme="minorHAnsi"/>
          <w:b/>
          <w:bCs/>
          <w:noProof/>
          <w:sz w:val="24"/>
          <w:szCs w:val="24"/>
          <w:lang w:val="fi-FI" w:eastAsia="en-GB"/>
        </w:rPr>
      </w:pPr>
    </w:p>
    <w:p w14:paraId="663D7A74" w14:textId="77777777" w:rsidR="005F3630" w:rsidRPr="00E21E10" w:rsidRDefault="005F3630" w:rsidP="00866763">
      <w:pPr>
        <w:spacing w:after="0" w:line="240" w:lineRule="auto"/>
        <w:rPr>
          <w:rFonts w:eastAsia="Times New Roman" w:cstheme="minorHAnsi"/>
          <w:b/>
          <w:bCs/>
          <w:noProof/>
          <w:sz w:val="24"/>
          <w:szCs w:val="24"/>
          <w:lang w:val="fi-FI" w:eastAsia="en-GB"/>
        </w:rPr>
      </w:pPr>
    </w:p>
    <w:p w14:paraId="5F8F95FF" w14:textId="77777777" w:rsidR="005F3630" w:rsidRPr="00E21E10" w:rsidRDefault="005F3630" w:rsidP="00A11537">
      <w:pPr>
        <w:pStyle w:val="Heading2"/>
        <w:rPr>
          <w:noProof/>
          <w:lang w:val="fi-FI"/>
        </w:rPr>
      </w:pPr>
      <w:bookmarkStart w:id="9" w:name="_Toc223426074"/>
      <w:r w:rsidRPr="00E21E10">
        <w:rPr>
          <w:noProof/>
          <w:lang w:val="fi-FI"/>
        </w:rPr>
        <w:t>Kiitokset</w:t>
      </w:r>
      <w:bookmarkEnd w:id="9"/>
    </w:p>
    <w:p w14:paraId="227A3A05" w14:textId="77777777" w:rsidR="005F3630" w:rsidRPr="00E21E10" w:rsidRDefault="005F3630" w:rsidP="00866763">
      <w:pPr>
        <w:spacing w:after="0" w:line="240" w:lineRule="auto"/>
        <w:rPr>
          <w:rFonts w:eastAsia="Times New Roman" w:cstheme="minorHAnsi"/>
          <w:noProof/>
          <w:sz w:val="24"/>
          <w:szCs w:val="24"/>
          <w:lang w:val="fi-FI" w:eastAsia="en-GB"/>
        </w:rPr>
      </w:pPr>
    </w:p>
    <w:p w14:paraId="46109840" w14:textId="4DB5039B" w:rsidR="005F3630" w:rsidRPr="00E21E10" w:rsidRDefault="00A24F98" w:rsidP="00866763">
      <w:pPr>
        <w:spacing w:after="0" w:line="240" w:lineRule="auto"/>
        <w:rPr>
          <w:rFonts w:eastAsia="Times New Roman" w:cstheme="minorHAnsi"/>
          <w:noProof/>
          <w:sz w:val="24"/>
          <w:szCs w:val="24"/>
          <w:lang w:val="fi-FI" w:eastAsia="en-GB"/>
        </w:rPr>
      </w:pPr>
      <w:r w:rsidRPr="00E21E10">
        <w:rPr>
          <w:rFonts w:eastAsia="Times New Roman" w:cstheme="minorHAnsi"/>
          <w:i/>
          <w:iCs/>
          <w:noProof/>
          <w:sz w:val="24"/>
          <w:szCs w:val="24"/>
          <w:lang w:val="fi-FI" w:eastAsia="en-GB"/>
        </w:rPr>
        <w:t xml:space="preserve">Yksityisyys, turvallisuus ja tietoturva digitaalisessa energiaympäristössä </w:t>
      </w:r>
      <w:r w:rsidR="005F3630" w:rsidRPr="00E21E10">
        <w:rPr>
          <w:rFonts w:eastAsia="Times New Roman" w:cstheme="minorHAnsi"/>
          <w:noProof/>
          <w:sz w:val="24"/>
          <w:szCs w:val="24"/>
          <w:lang w:val="fi-FI" w:eastAsia="en-GB"/>
        </w:rPr>
        <w:t>on mukautettu versio valikoidusta materiaalista, joka on peräisin Kansainvälisen energiajärjestön (IEA) julkaisemasta materiaalista ”Data Privacy in the Digital Energy Era”</w:t>
      </w:r>
      <w:hyperlink r:id="rId28">
        <w:r w:rsidR="005F3630" w:rsidRPr="00E21E10">
          <w:rPr>
            <w:rFonts w:eastAsia="Times New Roman" w:cstheme="minorHAnsi"/>
            <w:noProof/>
            <w:color w:val="0000FF"/>
            <w:sz w:val="24"/>
            <w:szCs w:val="24"/>
            <w:u w:val="single"/>
            <w:lang w:val="fi-FI" w:eastAsia="en-GB"/>
          </w:rPr>
          <w:t xml:space="preserve"> https://www.iea.org/reports/digitalisation-and-energy</w:t>
        </w:r>
      </w:hyperlink>
      <w:r w:rsidR="005F3630" w:rsidRPr="00E21E10">
        <w:rPr>
          <w:rFonts w:eastAsia="Times New Roman" w:cstheme="minorHAnsi"/>
          <w:noProof/>
          <w:sz w:val="24"/>
          <w:szCs w:val="24"/>
          <w:lang w:val="fi-FI" w:eastAsia="en-GB"/>
        </w:rPr>
        <w:t xml:space="preserve"> ja ”Enhancing cyber resilience in electricity systems”</w:t>
      </w:r>
      <w:hyperlink r:id="rId29">
        <w:r w:rsidR="005F3630" w:rsidRPr="00E21E10">
          <w:rPr>
            <w:rStyle w:val="Hyperlink"/>
            <w:rFonts w:eastAsia="Times New Roman" w:cstheme="minorHAnsi"/>
            <w:noProof/>
            <w:sz w:val="24"/>
            <w:szCs w:val="24"/>
            <w:lang w:val="fi-FI" w:eastAsia="en-GB"/>
          </w:rPr>
          <w:t xml:space="preserve"> https://www.iea.org/reports/enhancing-cyber-resilience-in-electricity-systems</w:t>
        </w:r>
      </w:hyperlink>
      <w:r w:rsidR="005F3630" w:rsidRPr="00E21E10">
        <w:rPr>
          <w:rFonts w:eastAsia="Times New Roman" w:cstheme="minorHAnsi"/>
          <w:noProof/>
          <w:sz w:val="24"/>
          <w:szCs w:val="24"/>
          <w:lang w:val="fi-FI" w:eastAsia="en-GB"/>
        </w:rPr>
        <w:t xml:space="preserve"> (”alkuperäiset teokset”), jotka molemmat ovat </w:t>
      </w:r>
      <w:hyperlink r:id="rId30">
        <w:r w:rsidR="005F3630" w:rsidRPr="00E21E10">
          <w:rPr>
            <w:rStyle w:val="Hyperlink"/>
            <w:rFonts w:eastAsia="Times New Roman" w:cstheme="minorHAnsi"/>
            <w:noProof/>
            <w:sz w:val="24"/>
            <w:szCs w:val="24"/>
            <w:lang w:val="fi-FI" w:eastAsia="en-GB"/>
          </w:rPr>
          <w:t>CC BY 4.0</w:t>
        </w:r>
      </w:hyperlink>
      <w:r w:rsidR="005F3630" w:rsidRPr="00E21E10">
        <w:rPr>
          <w:rFonts w:eastAsia="Times New Roman" w:cstheme="minorHAnsi"/>
          <w:noProof/>
          <w:sz w:val="24"/>
          <w:szCs w:val="24"/>
          <w:lang w:val="fi-FI" w:eastAsia="en-GB"/>
        </w:rPr>
        <w:t xml:space="preserve"> -lisenssin alaisia</w:t>
      </w:r>
      <w:hyperlink r:id="rId31">
        <w:r w:rsidR="005F3630" w:rsidRPr="00E21E10">
          <w:rPr>
            <w:rStyle w:val="Hyperlink"/>
            <w:rFonts w:eastAsia="Times New Roman" w:cstheme="minorHAnsi"/>
            <w:noProof/>
            <w:sz w:val="24"/>
            <w:szCs w:val="24"/>
            <w:lang w:val="fi-FI" w:eastAsia="en-GB"/>
          </w:rPr>
          <w:t>.</w:t>
        </w:r>
      </w:hyperlink>
      <w:r w:rsidR="005F3630" w:rsidRPr="00E21E10">
        <w:rPr>
          <w:rFonts w:eastAsia="Times New Roman" w:cstheme="minorHAnsi"/>
          <w:noProof/>
          <w:sz w:val="24"/>
          <w:szCs w:val="24"/>
          <w:lang w:val="fi-FI" w:eastAsia="en-GB"/>
        </w:rPr>
        <w:t xml:space="preserve">  Tämä sovitus on Every1-projektin (”sovittaja”) tekemä ja julkaisema</w:t>
      </w:r>
      <w:hyperlink r:id="rId32">
        <w:r w:rsidR="005F3630" w:rsidRPr="00E21E10">
          <w:rPr>
            <w:rStyle w:val="Hyperlink"/>
            <w:rFonts w:eastAsia="Times New Roman" w:cstheme="minorHAnsi"/>
            <w:noProof/>
            <w:sz w:val="24"/>
            <w:szCs w:val="24"/>
            <w:lang w:val="fi-FI" w:eastAsia="en-GB"/>
          </w:rPr>
          <w:t>,</w:t>
        </w:r>
      </w:hyperlink>
      <w:r w:rsidR="005F3630" w:rsidRPr="00E21E10">
        <w:rPr>
          <w:rFonts w:eastAsia="Times New Roman" w:cstheme="minorHAnsi"/>
          <w:noProof/>
          <w:sz w:val="24"/>
          <w:szCs w:val="24"/>
          <w:lang w:val="fi-FI" w:eastAsia="en-GB"/>
        </w:rPr>
        <w:t xml:space="preserve"> ja se on lisensoitu </w:t>
      </w:r>
      <w:hyperlink r:id="rId33">
        <w:r w:rsidR="005F3630" w:rsidRPr="00E21E10">
          <w:rPr>
            <w:rStyle w:val="Hyperlink"/>
            <w:rFonts w:eastAsia="Times New Roman" w:cstheme="minorHAnsi"/>
            <w:noProof/>
            <w:sz w:val="24"/>
            <w:szCs w:val="24"/>
            <w:lang w:val="fi-FI" w:eastAsia="en-GB"/>
          </w:rPr>
          <w:t>CC BY 4.0 -lisenssillä,</w:t>
        </w:r>
      </w:hyperlink>
      <w:r w:rsidR="005F3630" w:rsidRPr="00E21E10">
        <w:rPr>
          <w:rFonts w:eastAsia="Times New Roman" w:cstheme="minorHAnsi"/>
          <w:noProof/>
          <w:sz w:val="24"/>
          <w:szCs w:val="24"/>
          <w:lang w:val="fi-FI" w:eastAsia="en-GB"/>
        </w:rPr>
        <w:t xml:space="preserve"> ellei toisin mainita. Tämä on Every1-projektin IEA:n materiaalista johdettu teos, ja Every1-projekti on yksin vastuussa tästä johdetusta teoksesta. IEA ei tue tätä johdettua teosta millään tavalla.  </w:t>
      </w:r>
    </w:p>
    <w:p w14:paraId="05AD9F34" w14:textId="77777777" w:rsidR="005F3630" w:rsidRPr="00E21E10" w:rsidRDefault="005F3630" w:rsidP="00866763">
      <w:pPr>
        <w:spacing w:after="0" w:line="240" w:lineRule="auto"/>
        <w:rPr>
          <w:rFonts w:eastAsia="Times New Roman" w:cstheme="minorHAnsi"/>
          <w:noProof/>
          <w:sz w:val="24"/>
          <w:szCs w:val="24"/>
          <w:lang w:val="fi-FI" w:eastAsia="en-GB"/>
        </w:rPr>
      </w:pPr>
    </w:p>
    <w:p w14:paraId="70C13A18" w14:textId="77777777" w:rsidR="005F3630" w:rsidRPr="00E21E10" w:rsidRDefault="005F3630" w:rsidP="00866763">
      <w:pPr>
        <w:spacing w:after="0" w:line="240" w:lineRule="auto"/>
        <w:rPr>
          <w:rFonts w:eastAsia="Times New Roman" w:cstheme="minorHAnsi"/>
          <w:noProof/>
          <w:sz w:val="24"/>
          <w:szCs w:val="24"/>
          <w:lang w:val="fi-FI" w:eastAsia="en-GB"/>
        </w:rPr>
      </w:pPr>
      <w:r w:rsidRPr="00E21E10">
        <w:rPr>
          <w:rFonts w:eastAsia="Times New Roman" w:cstheme="minorHAnsi"/>
          <w:noProof/>
          <w:sz w:val="24"/>
          <w:szCs w:val="24"/>
          <w:lang w:val="fi-FI" w:eastAsia="en-GB"/>
        </w:rPr>
        <w:t xml:space="preserve">Sovitin muutti alkuperäisiä teoksia seuraavasti: </w:t>
      </w:r>
    </w:p>
    <w:p w14:paraId="3FDEB15D" w14:textId="77777777" w:rsidR="005F3630" w:rsidRPr="00E21E10" w:rsidRDefault="005F3630" w:rsidP="00866763">
      <w:pPr>
        <w:spacing w:after="0" w:line="240" w:lineRule="auto"/>
        <w:rPr>
          <w:rFonts w:eastAsia="Times New Roman" w:cstheme="minorHAnsi"/>
          <w:noProof/>
          <w:sz w:val="24"/>
          <w:szCs w:val="24"/>
          <w:lang w:val="fi-FI" w:eastAsia="en-GB"/>
        </w:rPr>
      </w:pPr>
    </w:p>
    <w:p w14:paraId="5D47265C" w14:textId="77777777" w:rsidR="005F3630" w:rsidRPr="00E21E10" w:rsidRDefault="005F3630" w:rsidP="005F3630">
      <w:pPr>
        <w:pStyle w:val="ListParagraph"/>
        <w:numPr>
          <w:ilvl w:val="0"/>
          <w:numId w:val="63"/>
        </w:numPr>
        <w:spacing w:after="0" w:line="240" w:lineRule="auto"/>
        <w:rPr>
          <w:rFonts w:eastAsia="Times New Roman" w:cstheme="minorHAnsi"/>
          <w:noProof/>
          <w:sz w:val="24"/>
          <w:szCs w:val="24"/>
          <w:lang w:val="fi-FI" w:eastAsia="en-GB"/>
        </w:rPr>
      </w:pPr>
      <w:r w:rsidRPr="00E21E10">
        <w:rPr>
          <w:rFonts w:eastAsiaTheme="minorEastAsia" w:cstheme="minorHAnsi"/>
          <w:noProof/>
          <w:sz w:val="24"/>
          <w:szCs w:val="24"/>
          <w:lang w:val="fi-FI" w:eastAsia="en-GB"/>
        </w:rPr>
        <w:t>Mukautus keskittyy erityisesti alkuperäisteoksen energia-alan yksityisyyden, turvallisuuden ja tietoturvan näkökohtiin.</w:t>
      </w:r>
    </w:p>
    <w:p w14:paraId="0D976EA4" w14:textId="77777777" w:rsidR="005F3630" w:rsidRPr="00E21E10" w:rsidRDefault="005F3630" w:rsidP="005F3630">
      <w:pPr>
        <w:pStyle w:val="ListParagraph"/>
        <w:numPr>
          <w:ilvl w:val="0"/>
          <w:numId w:val="63"/>
        </w:numPr>
        <w:spacing w:after="0" w:line="240" w:lineRule="auto"/>
        <w:rPr>
          <w:rFonts w:eastAsia="Times New Roman" w:cstheme="minorHAnsi"/>
          <w:noProof/>
          <w:sz w:val="24"/>
          <w:szCs w:val="24"/>
          <w:lang w:val="fi-FI" w:eastAsia="en-GB"/>
        </w:rPr>
      </w:pPr>
      <w:r w:rsidRPr="00E21E10">
        <w:rPr>
          <w:rFonts w:eastAsiaTheme="minorEastAsia" w:cstheme="minorHAnsi"/>
          <w:noProof/>
          <w:sz w:val="24"/>
          <w:szCs w:val="24"/>
          <w:lang w:val="fi-FI" w:eastAsia="en-GB"/>
        </w:rPr>
        <w:t>Tekninen kieli on yksinkertaistettu yleisen yleisön ymmärrettäväksi.</w:t>
      </w:r>
    </w:p>
    <w:p w14:paraId="057C4D8B" w14:textId="77777777" w:rsidR="005F3630" w:rsidRPr="00E21E10" w:rsidRDefault="005F3630" w:rsidP="005F3630">
      <w:pPr>
        <w:pStyle w:val="ListParagraph"/>
        <w:numPr>
          <w:ilvl w:val="0"/>
          <w:numId w:val="63"/>
        </w:numPr>
        <w:spacing w:after="0" w:line="240" w:lineRule="auto"/>
        <w:rPr>
          <w:rFonts w:eastAsia="Times New Roman" w:cstheme="minorHAnsi"/>
          <w:noProof/>
          <w:sz w:val="24"/>
          <w:szCs w:val="24"/>
          <w:lang w:val="fi-FI" w:eastAsia="en-GB"/>
        </w:rPr>
      </w:pPr>
      <w:r w:rsidRPr="00E21E10">
        <w:rPr>
          <w:rFonts w:eastAsiaTheme="minorEastAsia" w:cstheme="minorHAnsi"/>
          <w:noProof/>
          <w:sz w:val="24"/>
          <w:szCs w:val="24"/>
          <w:lang w:val="fi-FI" w:eastAsia="en-GB"/>
        </w:rPr>
        <w:t xml:space="preserve">Siihen on lisätty käytännön vinkkejä. </w:t>
      </w:r>
    </w:p>
    <w:p w14:paraId="0CB7774F" w14:textId="77777777" w:rsidR="005F3630" w:rsidRPr="00E21E10" w:rsidRDefault="005F3630" w:rsidP="005F3630">
      <w:pPr>
        <w:pStyle w:val="ListParagraph"/>
        <w:numPr>
          <w:ilvl w:val="0"/>
          <w:numId w:val="63"/>
        </w:numPr>
        <w:spacing w:after="0" w:line="240" w:lineRule="auto"/>
        <w:rPr>
          <w:rFonts w:eastAsia="Times New Roman" w:cstheme="minorHAnsi"/>
          <w:noProof/>
          <w:sz w:val="24"/>
          <w:szCs w:val="24"/>
          <w:lang w:val="fi-FI" w:eastAsia="en-GB"/>
        </w:rPr>
      </w:pPr>
      <w:r w:rsidRPr="00E21E10">
        <w:rPr>
          <w:rFonts w:eastAsiaTheme="minorEastAsia" w:cstheme="minorHAnsi"/>
          <w:noProof/>
          <w:sz w:val="24"/>
          <w:szCs w:val="24"/>
          <w:lang w:val="fi-FI" w:eastAsia="en-GB"/>
        </w:rPr>
        <w:t>Euroopan komission lähteistä saatuja uusia tietoja on sisällytetty GDPR-asetuksen ja EU:n kyberturvallisuuslain kattamiseksi.</w:t>
      </w:r>
    </w:p>
    <w:p w14:paraId="424BDE4F" w14:textId="77777777" w:rsidR="005F3630" w:rsidRPr="00E21E10" w:rsidRDefault="005F3630" w:rsidP="00866763">
      <w:pPr>
        <w:spacing w:after="0" w:line="240" w:lineRule="auto"/>
        <w:rPr>
          <w:rFonts w:eastAsia="Times New Roman" w:cstheme="minorHAnsi"/>
          <w:noProof/>
          <w:sz w:val="24"/>
          <w:szCs w:val="24"/>
          <w:lang w:val="fi-FI" w:eastAsia="en-GB"/>
        </w:rPr>
      </w:pPr>
    </w:p>
    <w:p w14:paraId="739C4261" w14:textId="77777777" w:rsidR="005F3630" w:rsidRPr="00E21E10" w:rsidRDefault="005F3630" w:rsidP="00A11537">
      <w:pPr>
        <w:pStyle w:val="Heading2"/>
        <w:rPr>
          <w:noProof/>
          <w:lang w:val="fi-FI"/>
        </w:rPr>
      </w:pPr>
      <w:bookmarkStart w:id="10" w:name="_Toc223426075"/>
      <w:r w:rsidRPr="00E21E10">
        <w:rPr>
          <w:noProof/>
          <w:lang w:val="fi-FI"/>
        </w:rPr>
        <w:t>Kuvien lähteet</w:t>
      </w:r>
      <w:bookmarkEnd w:id="10"/>
      <w:r w:rsidRPr="00E21E10">
        <w:rPr>
          <w:noProof/>
          <w:lang w:val="fi-FI"/>
        </w:rPr>
        <w:t xml:space="preserve"> </w:t>
      </w:r>
    </w:p>
    <w:p w14:paraId="4CAB8098" w14:textId="77777777" w:rsidR="005F3630" w:rsidRPr="00E21E10"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fi-FI"/>
        </w:rPr>
      </w:pPr>
    </w:p>
    <w:p w14:paraId="6A711CB6" w14:textId="77777777" w:rsidR="005F3630" w:rsidRPr="00E21E10" w:rsidRDefault="005F3630" w:rsidP="007D3CA5">
      <w:pPr>
        <w:pStyle w:val="paragraph"/>
        <w:spacing w:before="0" w:beforeAutospacing="0" w:after="0" w:afterAutospacing="0"/>
        <w:textAlignment w:val="baseline"/>
        <w:rPr>
          <w:rFonts w:ascii="Segoe UI" w:hAnsi="Segoe UI" w:cs="Segoe UI"/>
          <w:noProof/>
          <w:sz w:val="18"/>
          <w:szCs w:val="18"/>
          <w:lang w:val="fi-FI"/>
        </w:rPr>
      </w:pPr>
      <w:r w:rsidRPr="00E21E10">
        <w:rPr>
          <w:rStyle w:val="normaltextrun"/>
          <w:rFonts w:ascii="Calibri" w:eastAsiaTheme="majorEastAsia" w:hAnsi="Calibri" w:cs="Calibri"/>
          <w:noProof/>
          <w:lang w:val="fi-FI"/>
        </w:rPr>
        <w:t xml:space="preserve">Kurssin pääkuva: </w:t>
      </w:r>
      <w:hyperlink r:id="rId34" w:tgtFrame="_blank" w:history="1">
        <w:r w:rsidRPr="00E21E10">
          <w:rPr>
            <w:rStyle w:val="normaltextrun"/>
            <w:rFonts w:ascii="Calibri" w:eastAsiaTheme="majorEastAsia" w:hAnsi="Calibri" w:cs="Calibri"/>
            <w:noProof/>
            <w:color w:val="0563C1"/>
            <w:u w:val="single"/>
            <w:lang w:val="fi-FI"/>
          </w:rPr>
          <w:t xml:space="preserve"> Untitled</w:t>
        </w:r>
      </w:hyperlink>
      <w:r w:rsidRPr="00E21E10">
        <w:rPr>
          <w:rStyle w:val="normaltextrun"/>
          <w:rFonts w:ascii="Calibri" w:eastAsiaTheme="majorEastAsia" w:hAnsi="Calibri" w:cs="Calibri"/>
          <w:noProof/>
          <w:lang w:val="fi-FI"/>
        </w:rPr>
        <w:t xml:space="preserve">, Mike Fritcher, lisenssi </w:t>
      </w:r>
      <w:hyperlink r:id="rId35" w:tgtFrame="_blank" w:history="1">
        <w:r w:rsidRPr="00E21E10">
          <w:rPr>
            <w:rStyle w:val="normaltextrun"/>
            <w:rFonts w:ascii="Calibri" w:eastAsiaTheme="majorEastAsia" w:hAnsi="Calibri" w:cs="Calibri"/>
            <w:noProof/>
            <w:color w:val="0563C1"/>
            <w:u w:val="single"/>
            <w:shd w:val="clear" w:color="auto" w:fill="FFFFFF"/>
            <w:lang w:val="fi-FI"/>
          </w:rPr>
          <w:t>CC BY-SA 2.0</w:t>
        </w:r>
      </w:hyperlink>
      <w:r w:rsidRPr="00E21E10">
        <w:rPr>
          <w:rStyle w:val="normaltextrun"/>
          <w:rFonts w:ascii="Calibri" w:eastAsiaTheme="majorEastAsia" w:hAnsi="Calibri" w:cs="Calibri"/>
          <w:noProof/>
          <w:color w:val="242424"/>
          <w:shd w:val="clear" w:color="auto" w:fill="FFFFFF"/>
          <w:lang w:val="fi-FI"/>
        </w:rPr>
        <w:t xml:space="preserve">. </w:t>
      </w:r>
    </w:p>
    <w:p w14:paraId="106755A0" w14:textId="77777777" w:rsidR="005F3630" w:rsidRPr="00E21E10" w:rsidRDefault="005F3630" w:rsidP="007D3CA5">
      <w:pPr>
        <w:pStyle w:val="paragraph"/>
        <w:spacing w:before="0" w:beforeAutospacing="0" w:after="0" w:afterAutospacing="0"/>
        <w:textAlignment w:val="baseline"/>
        <w:rPr>
          <w:rFonts w:ascii="Segoe UI" w:hAnsi="Segoe UI" w:cs="Segoe UI"/>
          <w:noProof/>
          <w:sz w:val="18"/>
          <w:szCs w:val="18"/>
          <w:lang w:val="fi-FI"/>
        </w:rPr>
      </w:pPr>
      <w:r w:rsidRPr="00E21E10">
        <w:rPr>
          <w:rStyle w:val="normaltextrun"/>
          <w:rFonts w:ascii="Calibri" w:eastAsiaTheme="majorEastAsia" w:hAnsi="Calibri" w:cs="Calibri"/>
          <w:noProof/>
          <w:lang w:val="fi-FI"/>
        </w:rPr>
        <w:t>Johdanto</w:t>
      </w:r>
      <w:r w:rsidRPr="00E21E10">
        <w:rPr>
          <w:rStyle w:val="eop"/>
          <w:rFonts w:ascii="Calibri" w:eastAsiaTheme="majorEastAsia" w:hAnsi="Calibri" w:cs="Calibri"/>
          <w:noProof/>
          <w:lang w:val="fi-FI"/>
        </w:rPr>
        <w:t xml:space="preserve">: </w:t>
      </w:r>
      <w:hyperlink r:id="rId36" w:tgtFrame="_blank" w:history="1">
        <w:r w:rsidRPr="00E21E10">
          <w:rPr>
            <w:rStyle w:val="normaltextrun"/>
            <w:rFonts w:ascii="Calibri" w:eastAsiaTheme="majorEastAsia" w:hAnsi="Calibri" w:cs="Calibri"/>
            <w:noProof/>
            <w:color w:val="0563C1"/>
            <w:u w:val="single"/>
            <w:lang w:val="fi-FI"/>
          </w:rPr>
          <w:t>Nainen käyttää Windows Mobile -laitetta puistossa lapsen kanssa</w:t>
        </w:r>
      </w:hyperlink>
      <w:r w:rsidRPr="00E21E10">
        <w:rPr>
          <w:rStyle w:val="normaltextrun"/>
          <w:rFonts w:ascii="Calibri" w:eastAsiaTheme="majorEastAsia" w:hAnsi="Calibri" w:cs="Calibri"/>
          <w:noProof/>
          <w:lang w:val="fi-FI"/>
        </w:rPr>
        <w:t xml:space="preserve">, Gail, lisenssi </w:t>
      </w:r>
      <w:hyperlink r:id="rId37" w:tgtFrame="_blank" w:history="1">
        <w:r w:rsidRPr="00E21E10">
          <w:rPr>
            <w:rStyle w:val="normaltextrun"/>
            <w:rFonts w:ascii="Calibri" w:eastAsiaTheme="majorEastAsia" w:hAnsi="Calibri" w:cs="Calibri"/>
            <w:noProof/>
            <w:color w:val="0563C1"/>
            <w:u w:val="single"/>
            <w:lang w:val="fi-FI"/>
          </w:rPr>
          <w:t>CC BY-ND 2.0</w:t>
        </w:r>
      </w:hyperlink>
      <w:r w:rsidRPr="00E21E10">
        <w:rPr>
          <w:rStyle w:val="normaltextrun"/>
          <w:rFonts w:ascii="Calibri" w:eastAsiaTheme="majorEastAsia" w:hAnsi="Calibri" w:cs="Calibri"/>
          <w:noProof/>
          <w:lang w:val="fi-FI"/>
        </w:rPr>
        <w:t>.   </w:t>
      </w:r>
    </w:p>
    <w:p w14:paraId="674C96FE" w14:textId="77777777" w:rsidR="005F3630" w:rsidRPr="00E21E10" w:rsidRDefault="005F3630" w:rsidP="007D3CA5">
      <w:pPr>
        <w:pStyle w:val="paragraph"/>
        <w:spacing w:before="0" w:beforeAutospacing="0" w:after="0" w:afterAutospacing="0"/>
        <w:textAlignment w:val="baseline"/>
        <w:rPr>
          <w:rFonts w:ascii="Segoe UI" w:hAnsi="Segoe UI" w:cs="Segoe UI"/>
          <w:noProof/>
          <w:sz w:val="18"/>
          <w:szCs w:val="18"/>
          <w:lang w:val="fi-FI"/>
        </w:rPr>
      </w:pPr>
      <w:r w:rsidRPr="00E21E10">
        <w:rPr>
          <w:rStyle w:val="normaltextrun"/>
          <w:rFonts w:ascii="Calibri" w:eastAsiaTheme="majorEastAsia" w:hAnsi="Calibri" w:cs="Calibri"/>
          <w:noProof/>
          <w:lang w:val="fi-FI"/>
        </w:rPr>
        <w:lastRenderedPageBreak/>
        <w:t xml:space="preserve">Digitaaliset teknologiat ja digitaalinen energiasiirtymä: Patrik Tschudinin kuva </w:t>
      </w:r>
      <w:hyperlink r:id="rId38" w:tgtFrame="_blank" w:history="1">
        <w:r w:rsidRPr="00E21E10">
          <w:rPr>
            <w:rStyle w:val="normaltextrun"/>
            <w:rFonts w:ascii="Calibri" w:eastAsiaTheme="majorEastAsia" w:hAnsi="Calibri" w:cs="Calibri"/>
            <w:noProof/>
            <w:color w:val="0563C1"/>
            <w:u w:val="single"/>
            <w:lang w:val="fi-FI"/>
          </w:rPr>
          <w:t>älykkäästä mittarista ”Echelon”</w:t>
        </w:r>
      </w:hyperlink>
      <w:r w:rsidRPr="00E21E10">
        <w:rPr>
          <w:rStyle w:val="normaltextrun"/>
          <w:rFonts w:ascii="Calibri" w:eastAsiaTheme="majorEastAsia" w:hAnsi="Calibri" w:cs="Calibri"/>
          <w:noProof/>
          <w:lang w:val="fi-FI"/>
        </w:rPr>
        <w:t xml:space="preserve"> on lisensoitu </w:t>
      </w:r>
      <w:hyperlink r:id="rId39" w:tgtFrame="_blank" w:history="1">
        <w:r w:rsidRPr="00E21E10">
          <w:rPr>
            <w:rStyle w:val="normaltextrun"/>
            <w:rFonts w:ascii="Calibri" w:eastAsiaTheme="majorEastAsia" w:hAnsi="Calibri" w:cs="Calibri"/>
            <w:noProof/>
            <w:color w:val="0563C1"/>
            <w:u w:val="single"/>
            <w:lang w:val="fi-FI"/>
          </w:rPr>
          <w:t>CC BY 2.0</w:t>
        </w:r>
      </w:hyperlink>
      <w:r w:rsidRPr="00E21E10">
        <w:rPr>
          <w:rStyle w:val="normaltextrun"/>
          <w:rFonts w:ascii="Calibri" w:eastAsiaTheme="majorEastAsia" w:hAnsi="Calibri" w:cs="Calibri"/>
          <w:noProof/>
          <w:lang w:val="fi-FI"/>
        </w:rPr>
        <w:t xml:space="preserve"> -lisenssillä.  </w:t>
      </w:r>
    </w:p>
    <w:p w14:paraId="00496D23" w14:textId="77777777" w:rsidR="005F3630" w:rsidRPr="00E21E10" w:rsidRDefault="005F3630" w:rsidP="007D3CA5">
      <w:pPr>
        <w:pStyle w:val="paragraph"/>
        <w:spacing w:before="0" w:beforeAutospacing="0" w:after="0" w:afterAutospacing="0"/>
        <w:textAlignment w:val="baseline"/>
        <w:rPr>
          <w:rFonts w:ascii="Segoe UI" w:hAnsi="Segoe UI" w:cs="Segoe UI"/>
          <w:noProof/>
          <w:sz w:val="18"/>
          <w:szCs w:val="18"/>
          <w:lang w:val="fi-FI"/>
        </w:rPr>
      </w:pPr>
      <w:r w:rsidRPr="00E21E10">
        <w:rPr>
          <w:rStyle w:val="normaltextrun"/>
          <w:rFonts w:ascii="Calibri" w:eastAsiaTheme="majorEastAsia" w:hAnsi="Calibri" w:cs="Calibri"/>
          <w:noProof/>
          <w:lang w:val="fi-FI"/>
        </w:rPr>
        <w:t xml:space="preserve">Kyberturvallisuus energia-alalla: Michael Coghlanin kuva </w:t>
      </w:r>
      <w:hyperlink r:id="rId40" w:tgtFrame="_blank" w:history="1">
        <w:r w:rsidRPr="00E21E10">
          <w:rPr>
            <w:rStyle w:val="normaltextrun"/>
            <w:rFonts w:ascii="Calibri" w:eastAsiaTheme="majorEastAsia" w:hAnsi="Calibri" w:cs="Calibri"/>
            <w:noProof/>
            <w:color w:val="0563C1"/>
            <w:u w:val="single"/>
            <w:lang w:val="fi-FI"/>
          </w:rPr>
          <w:t>”Mobile Worker”</w:t>
        </w:r>
      </w:hyperlink>
      <w:r w:rsidRPr="00E21E10">
        <w:rPr>
          <w:rStyle w:val="normaltextrun"/>
          <w:rFonts w:ascii="Calibri" w:eastAsiaTheme="majorEastAsia" w:hAnsi="Calibri" w:cs="Calibri"/>
          <w:noProof/>
          <w:lang w:val="fi-FI"/>
        </w:rPr>
        <w:t xml:space="preserve"> on lisensoitu </w:t>
      </w:r>
      <w:hyperlink r:id="rId41" w:tgtFrame="_blank" w:history="1">
        <w:r w:rsidRPr="00E21E10">
          <w:rPr>
            <w:rStyle w:val="normaltextrun"/>
            <w:rFonts w:ascii="Calibri" w:eastAsiaTheme="majorEastAsia" w:hAnsi="Calibri" w:cs="Calibri"/>
            <w:noProof/>
            <w:color w:val="0563C1"/>
            <w:u w:val="single"/>
            <w:shd w:val="clear" w:color="auto" w:fill="FFFFFF"/>
            <w:lang w:val="fi-FI"/>
          </w:rPr>
          <w:t>CC BY-SA 2.0</w:t>
        </w:r>
      </w:hyperlink>
      <w:r w:rsidRPr="00E21E10">
        <w:rPr>
          <w:rStyle w:val="normaltextrun"/>
          <w:rFonts w:ascii="Calibri" w:eastAsiaTheme="majorEastAsia" w:hAnsi="Calibri" w:cs="Calibri"/>
          <w:noProof/>
          <w:color w:val="242424"/>
          <w:shd w:val="clear" w:color="auto" w:fill="FFFFFF"/>
          <w:lang w:val="fi-FI"/>
        </w:rPr>
        <w:t xml:space="preserve">. </w:t>
      </w:r>
    </w:p>
    <w:p w14:paraId="25420B2C" w14:textId="4FD2FE37" w:rsidR="00227001" w:rsidRPr="00E21E10" w:rsidRDefault="005F3630" w:rsidP="00C55821">
      <w:pPr>
        <w:pStyle w:val="paragraph"/>
        <w:spacing w:before="0" w:beforeAutospacing="0" w:after="0" w:afterAutospacing="0"/>
        <w:textAlignment w:val="baseline"/>
        <w:rPr>
          <w:rFonts w:ascii="Myriad Pro" w:hAnsi="Myriad Pro"/>
          <w:noProof/>
          <w:lang w:val="fi-FI"/>
        </w:rPr>
      </w:pPr>
      <w:r w:rsidRPr="00E21E10">
        <w:rPr>
          <w:rStyle w:val="normaltextrun"/>
          <w:rFonts w:ascii="Calibri" w:eastAsiaTheme="majorEastAsia" w:hAnsi="Calibri" w:cs="Calibri"/>
          <w:noProof/>
          <w:lang w:val="fi-FI"/>
        </w:rPr>
        <w:t xml:space="preserve">Energian yksityisyyden, turvallisuuden ja suojan parantaminen: </w:t>
      </w:r>
      <w:hyperlink r:id="rId42" w:tgtFrame="_blank" w:history="1">
        <w:r w:rsidRPr="00E21E10">
          <w:rPr>
            <w:rStyle w:val="normaltextrun"/>
            <w:rFonts w:ascii="Calibri" w:eastAsiaTheme="majorEastAsia" w:hAnsi="Calibri" w:cs="Calibri"/>
            <w:noProof/>
            <w:color w:val="0563C1"/>
            <w:u w:val="single"/>
            <w:lang w:val="fi-FI"/>
          </w:rPr>
          <w:t>data</w:t>
        </w:r>
      </w:hyperlink>
      <w:r w:rsidRPr="00E21E10">
        <w:rPr>
          <w:rStyle w:val="normaltextrun"/>
          <w:rFonts w:ascii="Calibri" w:eastAsiaTheme="majorEastAsia" w:hAnsi="Calibri" w:cs="Calibri"/>
          <w:noProof/>
          <w:lang w:val="fi-FI"/>
        </w:rPr>
        <w:t xml:space="preserve">, Arismendy Polanco, jaettu </w:t>
      </w:r>
      <w:hyperlink r:id="rId43" w:tgtFrame="_blank" w:history="1">
        <w:r w:rsidRPr="00E21E10">
          <w:rPr>
            <w:rStyle w:val="normaltextrun"/>
            <w:rFonts w:ascii="Calibri" w:eastAsiaTheme="majorEastAsia" w:hAnsi="Calibri" w:cs="Calibri"/>
            <w:noProof/>
            <w:color w:val="0563C1"/>
            <w:u w:val="single"/>
            <w:lang w:val="fi-FI"/>
          </w:rPr>
          <w:t>Public Domain Mark 1.0</w:t>
        </w:r>
      </w:hyperlink>
      <w:r w:rsidRPr="00E21E10">
        <w:rPr>
          <w:rStyle w:val="normaltextrun"/>
          <w:rFonts w:ascii="Calibri" w:eastAsiaTheme="majorEastAsia" w:hAnsi="Calibri" w:cs="Calibri"/>
          <w:noProof/>
          <w:lang w:val="fi-FI"/>
        </w:rPr>
        <w:t xml:space="preserve"> -lisenssillä.</w:t>
      </w:r>
    </w:p>
    <w:p w14:paraId="4859BB6B" w14:textId="77777777" w:rsidR="00227001" w:rsidRPr="00E21E10" w:rsidRDefault="00227001" w:rsidP="00DE6C25">
      <w:pPr>
        <w:spacing w:after="0" w:line="240" w:lineRule="auto"/>
        <w:rPr>
          <w:rFonts w:ascii="Myriad Pro" w:eastAsia="Times New Roman" w:hAnsi="Myriad Pro" w:cs="Times New Roman"/>
          <w:noProof/>
          <w:sz w:val="24"/>
          <w:szCs w:val="24"/>
          <w:lang w:val="fi-FI" w:eastAsia="en-GB"/>
        </w:rPr>
      </w:pPr>
    </w:p>
    <w:sectPr w:rsidR="00227001" w:rsidRPr="00E21E10">
      <w:headerReference w:type="default" r:id="rId44"/>
      <w:footerReference w:type="even"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54DB" w14:textId="77777777" w:rsidR="00F82B35" w:rsidRDefault="00F82B35" w:rsidP="00AB7BB7">
      <w:pPr>
        <w:spacing w:after="0" w:line="240" w:lineRule="auto"/>
      </w:pPr>
      <w:r>
        <w:separator/>
      </w:r>
    </w:p>
  </w:endnote>
  <w:endnote w:type="continuationSeparator" w:id="0">
    <w:p w14:paraId="07043D23" w14:textId="77777777" w:rsidR="00F82B35" w:rsidRDefault="00F82B35"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00AA" w14:textId="77777777" w:rsidR="00F82B35" w:rsidRDefault="00F82B35" w:rsidP="00AB7BB7">
      <w:pPr>
        <w:spacing w:after="0" w:line="240" w:lineRule="auto"/>
      </w:pPr>
      <w:r>
        <w:separator/>
      </w:r>
    </w:p>
  </w:footnote>
  <w:footnote w:type="continuationSeparator" w:id="0">
    <w:p w14:paraId="173A46A5" w14:textId="77777777" w:rsidR="00F82B35" w:rsidRDefault="00F82B35"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4652" w14:textId="77777777" w:rsidR="00E21E10" w:rsidRDefault="00E21E10" w:rsidP="00E21E10">
    <w:pPr>
      <w:pStyle w:val="Header"/>
    </w:pPr>
    <w:r>
      <w:rPr>
        <w:noProof/>
      </w:rPr>
      <w:drawing>
        <wp:inline distT="0" distB="0" distL="0" distR="0" wp14:anchorId="563304CF" wp14:editId="7E4C5EF3">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2E383BE" wp14:editId="7D41E66A">
          <wp:extent cx="1757097" cy="368317"/>
          <wp:effectExtent l="0" t="0" r="0" b="0"/>
          <wp:docPr id="13171487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4875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3228" cy="394756"/>
                  </a:xfrm>
                  <a:prstGeom prst="rect">
                    <a:avLst/>
                  </a:prstGeom>
                </pic:spPr>
              </pic:pic>
            </a:graphicData>
          </a:graphic>
        </wp:inline>
      </w:drawing>
    </w:r>
  </w:p>
  <w:p w14:paraId="249886FE" w14:textId="77777777" w:rsidR="00E21E10" w:rsidRDefault="00E21E10" w:rsidP="00E21E10">
    <w:pPr>
      <w:pStyle w:val="Header"/>
    </w:pPr>
  </w:p>
  <w:p w14:paraId="2402D56B" w14:textId="77777777" w:rsidR="00E21E10" w:rsidRDefault="00E21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1769"/>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81F0B"/>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215A0"/>
    <w:rsid w:val="00840D64"/>
    <w:rsid w:val="008539E0"/>
    <w:rsid w:val="00855E87"/>
    <w:rsid w:val="00870E4D"/>
    <w:rsid w:val="00884637"/>
    <w:rsid w:val="00890209"/>
    <w:rsid w:val="00890998"/>
    <w:rsid w:val="008C0F73"/>
    <w:rsid w:val="008C37A0"/>
    <w:rsid w:val="00901412"/>
    <w:rsid w:val="00916F25"/>
    <w:rsid w:val="00925C5C"/>
    <w:rsid w:val="00934E9F"/>
    <w:rsid w:val="0096653A"/>
    <w:rsid w:val="009E4B21"/>
    <w:rsid w:val="009F4957"/>
    <w:rsid w:val="00A24F98"/>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55821"/>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1E10"/>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82B35"/>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open.edu/openlearncreate/course/view.php?id=11965" TargetMode="External"/><Relationship Id="rId26" Type="http://schemas.openxmlformats.org/officeDocument/2006/relationships/hyperlink" Target="https://energy.ec.europa.eu/topics/markets-and-consumers/smart-grids-and-meters/data-protection-impact-assessment-smart-grid-and-smart-metering-environment_en" TargetMode="External"/><Relationship Id="rId39" Type="http://schemas.openxmlformats.org/officeDocument/2006/relationships/hyperlink" Target="https://creativecommons.org/licenses/by/2.0/" TargetMode="External"/><Relationship Id="rId21" Type="http://schemas.openxmlformats.org/officeDocument/2006/relationships/image" Target="media/image4.jpeg"/><Relationship Id="rId34"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42"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en.edu/openlearncreate/course/view.php?id=12165" TargetMode="External"/><Relationship Id="rId29" Type="http://schemas.openxmlformats.org/officeDocument/2006/relationships/hyperlink" Target="https://www.iea.org/reports/enhancing-cyber-resilience-in-electricity-syste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image" Target="media/image5.jpeg"/><Relationship Id="rId32" Type="http://schemas.openxmlformats.org/officeDocument/2006/relationships/hyperlink" Target="https://creativecommons.org/licenses/by/4.0/" TargetMode="External"/><Relationship Id="rId37" Type="http://schemas.openxmlformats.org/officeDocument/2006/relationships/hyperlink" Target="https://creativecommons.org/licenses/by-nd/2.0/" TargetMode="External"/><Relationship Id="rId40"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open.edu/openlearncreate/course/view.php?id=12165" TargetMode="External"/><Relationship Id="rId23" Type="http://schemas.openxmlformats.org/officeDocument/2006/relationships/hyperlink" Target="https://commission.europa.eu/law/law-topic/data-protection/reform/rights-citizens/my-rights/what-are-my-rights_en" TargetMode="External"/><Relationship Id="rId28" Type="http://schemas.openxmlformats.org/officeDocument/2006/relationships/hyperlink" Target="https://www.iea.org/reports/digitalisation-and-energy" TargetMode="External"/><Relationship Id="rId36"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www.iea.org/terms/creative-commons-cc-licenses"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commission.europa.eu/law/law-topic/data-protection/data-protection-eu_en" TargetMode="External"/><Relationship Id="rId27" Type="http://schemas.openxmlformats.org/officeDocument/2006/relationships/hyperlink" Target="https://energy.ec.europa.eu/topics/energy-security/critical-infrastructure-and-cybersecurity_en" TargetMode="External"/><Relationship Id="rId30" Type="http://schemas.openxmlformats.org/officeDocument/2006/relationships/hyperlink" Target="https://www.iea.org/terms/creative-commons-cc-licenses" TargetMode="External"/><Relationship Id="rId35" Type="http://schemas.openxmlformats.org/officeDocument/2006/relationships/hyperlink" Target="https://creativecommons.org/licenses/by-sa/2.0/" TargetMode="External"/><Relationship Id="rId43" Type="http://schemas.openxmlformats.org/officeDocument/2006/relationships/hyperlink" Target="https://creativecommons.org/publicdomain/mark/1.0/"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2.jpeg"/><Relationship Id="rId25" Type="http://schemas.openxmlformats.org/officeDocument/2006/relationships/hyperlink" Target="https://digital-strategy.ec.europa.eu/en/policies/cybersecurity-act" TargetMode="External"/><Relationship Id="rId33" Type="http://schemas.openxmlformats.org/officeDocument/2006/relationships/hyperlink" Target="https://creativecommons.org/licenses/by/4.0/" TargetMode="External"/><Relationship Id="rId38" Type="http://schemas.openxmlformats.org/officeDocument/2006/relationships/hyperlink" Target="https://www.flickr.com/photos/patsch/9684354999/" TargetMode="External"/><Relationship Id="rId46" Type="http://schemas.openxmlformats.org/officeDocument/2006/relationships/footer" Target="footer2.xml"/><Relationship Id="rId20" Type="http://schemas.openxmlformats.org/officeDocument/2006/relationships/hyperlink" Target="https://digital-strategy.ec.europa.eu/en/policies/cybersecurity-act" TargetMode="External"/><Relationship Id="rId41" Type="http://schemas.openxmlformats.org/officeDocument/2006/relationships/hyperlink" Target="https://creativecommons.org/licenses/by-sa/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BA8D77-CDED-44AD-B8B3-ED2B18AA2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1884</Words>
  <Characters>17435</Characters>
  <Application>Microsoft Office Word</Application>
  <DocSecurity>0</DocSecurity>
  <Lines>370</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2026-03-03T10:27:00Z</cp:lastPrinted>
  <dcterms:created xsi:type="dcterms:W3CDTF">2026-03-03T10:27:00Z</dcterms:created>
  <dcterms:modified xsi:type="dcterms:W3CDTF">2026-03-03T10:27:00Z</dcterms:modified>
  <cp:category/>
</cp:coreProperties>
</file>